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6DFA9" w14:textId="0C41E052" w:rsidR="00E85096" w:rsidRPr="00BD305E" w:rsidRDefault="00DE3FAB" w:rsidP="00675084">
      <w:pPr>
        <w:jc w:val="center"/>
        <w:rPr>
          <w:rFonts w:ascii="Arial" w:hAnsi="Arial" w:cs="Arial"/>
          <w:b/>
          <w:sz w:val="36"/>
          <w:szCs w:val="36"/>
        </w:rPr>
      </w:pPr>
      <w:r w:rsidRPr="00BD305E">
        <w:rPr>
          <w:rFonts w:ascii="Arial" w:hAnsi="Arial" w:cs="Arial"/>
          <w:b/>
          <w:sz w:val="36"/>
          <w:szCs w:val="36"/>
        </w:rPr>
        <w:t>UK General Data Protection Regulation</w:t>
      </w:r>
      <w:r w:rsidR="00617DD7" w:rsidRPr="00BD305E">
        <w:rPr>
          <w:rFonts w:ascii="Arial" w:hAnsi="Arial" w:cs="Arial"/>
          <w:b/>
          <w:sz w:val="36"/>
          <w:szCs w:val="36"/>
        </w:rPr>
        <w:t xml:space="preserve"> Policy</w:t>
      </w:r>
    </w:p>
    <w:p w14:paraId="34CF158F" w14:textId="77777777" w:rsidR="00E85096" w:rsidRPr="00BD305E"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BD305E"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BD305E" w:rsidRDefault="00675084" w:rsidP="00515291">
            <w:pPr>
              <w:jc w:val="center"/>
              <w:rPr>
                <w:rFonts w:ascii="Arial" w:eastAsia="Arial" w:hAnsi="Arial" w:cs="Arial"/>
                <w:b/>
                <w:spacing w:val="-2"/>
                <w:sz w:val="26"/>
                <w:szCs w:val="26"/>
              </w:rPr>
            </w:pPr>
            <w:r w:rsidRPr="00BD305E">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BD305E" w:rsidRDefault="00675084" w:rsidP="00515291">
            <w:pPr>
              <w:jc w:val="center"/>
              <w:rPr>
                <w:rFonts w:ascii="Arial" w:eastAsia="Arial" w:hAnsi="Arial" w:cs="Arial"/>
                <w:b/>
                <w:spacing w:val="-2"/>
                <w:sz w:val="26"/>
                <w:szCs w:val="26"/>
              </w:rPr>
            </w:pPr>
            <w:r w:rsidRPr="00BD305E">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BD305E" w:rsidRDefault="00675084" w:rsidP="00515291">
            <w:pPr>
              <w:jc w:val="center"/>
              <w:rPr>
                <w:rFonts w:ascii="Arial" w:eastAsia="Arial" w:hAnsi="Arial" w:cs="Arial"/>
                <w:b/>
                <w:spacing w:val="-2"/>
                <w:sz w:val="26"/>
                <w:szCs w:val="26"/>
              </w:rPr>
            </w:pPr>
            <w:r w:rsidRPr="00BD305E">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BD305E" w:rsidRDefault="00675084" w:rsidP="00515291">
            <w:pPr>
              <w:jc w:val="center"/>
              <w:rPr>
                <w:rFonts w:ascii="Arial" w:eastAsia="Arial" w:hAnsi="Arial" w:cs="Arial"/>
                <w:b/>
                <w:spacing w:val="-2"/>
                <w:sz w:val="26"/>
                <w:szCs w:val="26"/>
              </w:rPr>
            </w:pPr>
            <w:r w:rsidRPr="00BD305E">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BD305E" w:rsidRDefault="00675084" w:rsidP="00515291">
            <w:pPr>
              <w:jc w:val="center"/>
              <w:rPr>
                <w:rFonts w:ascii="Arial" w:eastAsia="Arial" w:hAnsi="Arial" w:cs="Arial"/>
                <w:b/>
                <w:spacing w:val="-2"/>
                <w:sz w:val="26"/>
                <w:szCs w:val="26"/>
              </w:rPr>
            </w:pPr>
            <w:r w:rsidRPr="00BD305E">
              <w:rPr>
                <w:rFonts w:ascii="Arial" w:eastAsia="Arial" w:hAnsi="Arial" w:cs="Arial"/>
                <w:b/>
                <w:spacing w:val="-2"/>
                <w:sz w:val="26"/>
                <w:szCs w:val="26"/>
              </w:rPr>
              <w:t>Comments:</w:t>
            </w:r>
          </w:p>
        </w:tc>
      </w:tr>
      <w:tr w:rsidR="00675084" w:rsidRPr="00BD305E"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C68554B" w:rsidR="00675084" w:rsidRPr="00BD305E" w:rsidRDefault="00E84B5A" w:rsidP="00515291">
            <w:pPr>
              <w:jc w:val="center"/>
              <w:rPr>
                <w:rFonts w:eastAsia="Arial" w:cs="Arial"/>
                <w:spacing w:val="-2"/>
                <w:sz w:val="26"/>
                <w:szCs w:val="26"/>
              </w:rPr>
            </w:pPr>
            <w:r>
              <w:rPr>
                <w:rFonts w:eastAsia="Arial" w:cs="Arial"/>
                <w:spacing w:val="-2"/>
                <w:sz w:val="26"/>
                <w:szCs w:val="26"/>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355AE451" w:rsidR="00675084" w:rsidRPr="00BD305E" w:rsidRDefault="00E84B5A" w:rsidP="00515291">
            <w:pPr>
              <w:rPr>
                <w:rFonts w:eastAsia="Arial" w:cs="Arial"/>
                <w:spacing w:val="-2"/>
                <w:sz w:val="26"/>
                <w:szCs w:val="26"/>
              </w:rPr>
            </w:pPr>
            <w:r>
              <w:rPr>
                <w:rFonts w:eastAsia="Arial" w:cs="Arial"/>
                <w:spacing w:val="-2"/>
                <w:sz w:val="26"/>
                <w:szCs w:val="26"/>
              </w:rPr>
              <w:t>Dec 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4E698AA4" w:rsidR="00675084" w:rsidRPr="00BD305E" w:rsidRDefault="00E84B5A" w:rsidP="00515291">
            <w:pPr>
              <w:rPr>
                <w:rFonts w:eastAsia="Arial" w:cs="Arial"/>
                <w:spacing w:val="-2"/>
                <w:sz w:val="26"/>
                <w:szCs w:val="26"/>
              </w:rPr>
            </w:pPr>
            <w:r>
              <w:rPr>
                <w:rFonts w:eastAsia="Arial" w:cs="Arial"/>
                <w:spacing w:val="-2"/>
                <w:sz w:val="26"/>
                <w:szCs w:val="26"/>
              </w:rPr>
              <w:t xml:space="preserve">PK </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5B748403" w:rsidR="00675084" w:rsidRPr="00BD305E" w:rsidRDefault="00E84B5A" w:rsidP="00515291">
            <w:pPr>
              <w:rPr>
                <w:rFonts w:eastAsia="Arial" w:cs="Arial"/>
                <w:spacing w:val="-2"/>
                <w:sz w:val="26"/>
                <w:szCs w:val="26"/>
              </w:rPr>
            </w:pPr>
            <w:r>
              <w:rPr>
                <w:rFonts w:eastAsia="Arial" w:cs="Arial"/>
                <w:spacing w:val="-2"/>
                <w:sz w:val="26"/>
                <w:szCs w:val="26"/>
              </w:rPr>
              <w:t>PK /AR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BD305E" w:rsidRDefault="00675084" w:rsidP="00515291">
            <w:pPr>
              <w:rPr>
                <w:sz w:val="26"/>
                <w:szCs w:val="26"/>
              </w:rPr>
            </w:pPr>
          </w:p>
        </w:tc>
      </w:tr>
      <w:tr w:rsidR="00675084" w:rsidRPr="00BD305E"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BD305E"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BD305E"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BD305E"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BD305E"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BD305E" w:rsidRDefault="00675084" w:rsidP="00515291">
            <w:pPr>
              <w:rPr>
                <w:sz w:val="26"/>
                <w:szCs w:val="26"/>
              </w:rPr>
            </w:pPr>
          </w:p>
        </w:tc>
      </w:tr>
      <w:tr w:rsidR="00675084" w:rsidRPr="00BD305E" w14:paraId="0E2C595C" w14:textId="77777777" w:rsidTr="002638C3">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BD305E"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BD305E"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BD305E"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BD305E"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BD305E" w:rsidRDefault="00675084" w:rsidP="00515291">
            <w:pPr>
              <w:rPr>
                <w:sz w:val="26"/>
                <w:szCs w:val="26"/>
              </w:rPr>
            </w:pPr>
          </w:p>
        </w:tc>
      </w:tr>
      <w:tr w:rsidR="00675084" w:rsidRPr="00BD305E"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BD305E"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BD305E"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BD305E"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BD305E"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BD305E" w:rsidRDefault="00675084" w:rsidP="00515291">
            <w:pPr>
              <w:rPr>
                <w:sz w:val="26"/>
                <w:szCs w:val="26"/>
              </w:rPr>
            </w:pPr>
          </w:p>
        </w:tc>
      </w:tr>
    </w:tbl>
    <w:p w14:paraId="34A22122" w14:textId="77777777" w:rsidR="00E85096" w:rsidRPr="00BD305E" w:rsidRDefault="00E85096">
      <w:pPr>
        <w:rPr>
          <w:rFonts w:ascii="Arial" w:hAnsi="Arial" w:cs="Arial"/>
          <w:sz w:val="28"/>
          <w:szCs w:val="28"/>
        </w:rPr>
      </w:pPr>
    </w:p>
    <w:p w14:paraId="4ADDD4F7" w14:textId="33646BE7" w:rsidR="000858D5" w:rsidRPr="00BD305E" w:rsidRDefault="00D05574">
      <w:pPr>
        <w:rPr>
          <w:rFonts w:ascii="Arial" w:hAnsi="Arial" w:cs="Arial"/>
          <w:b/>
          <w:sz w:val="28"/>
          <w:szCs w:val="28"/>
        </w:rPr>
      </w:pPr>
      <w:r w:rsidRPr="00BD305E">
        <w:rPr>
          <w:rFonts w:ascii="Arial" w:hAnsi="Arial" w:cs="Arial"/>
          <w:b/>
          <w:sz w:val="28"/>
          <w:szCs w:val="28"/>
        </w:rPr>
        <w:t>Table of c</w:t>
      </w:r>
      <w:r w:rsidR="000858D5" w:rsidRPr="00BD305E">
        <w:rPr>
          <w:rFonts w:ascii="Arial" w:hAnsi="Arial" w:cs="Arial"/>
          <w:b/>
          <w:sz w:val="28"/>
          <w:szCs w:val="28"/>
        </w:rPr>
        <w:t>ontents</w:t>
      </w:r>
    </w:p>
    <w:p w14:paraId="63D40723" w14:textId="1E428C02" w:rsidR="008A582C" w:rsidRDefault="00D85E4D">
      <w:pPr>
        <w:pStyle w:val="TOC1"/>
        <w:rPr>
          <w:rFonts w:asciiTheme="minorHAnsi" w:eastAsiaTheme="minorEastAsia" w:hAnsiTheme="minorHAnsi" w:cstheme="minorBidi"/>
          <w:b w:val="0"/>
          <w:bCs w:val="0"/>
          <w:kern w:val="2"/>
          <w:lang w:eastAsia="en-GB"/>
          <w14:ligatures w14:val="standardContextual"/>
        </w:rPr>
      </w:pPr>
      <w:r w:rsidRPr="00BD305E">
        <w:rPr>
          <w:noProof w:val="0"/>
          <w:sz w:val="20"/>
          <w:szCs w:val="28"/>
        </w:rPr>
        <w:fldChar w:fldCharType="begin"/>
      </w:r>
      <w:r w:rsidRPr="00BD305E">
        <w:rPr>
          <w:noProof w:val="0"/>
          <w:sz w:val="20"/>
          <w:szCs w:val="28"/>
        </w:rPr>
        <w:instrText xml:space="preserve"> TOC \o "1-3" \h \z \u </w:instrText>
      </w:r>
      <w:r w:rsidRPr="00BD305E">
        <w:rPr>
          <w:noProof w:val="0"/>
          <w:sz w:val="20"/>
          <w:szCs w:val="28"/>
        </w:rPr>
        <w:fldChar w:fldCharType="separate"/>
      </w:r>
      <w:hyperlink w:anchor="_Toc160544082" w:history="1">
        <w:r w:rsidR="008A582C" w:rsidRPr="006A053E">
          <w:rPr>
            <w:rStyle w:val="Hyperlink"/>
          </w:rPr>
          <w:t>1</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Introduction</w:t>
        </w:r>
        <w:r w:rsidR="008A582C">
          <w:rPr>
            <w:webHidden/>
          </w:rPr>
          <w:tab/>
        </w:r>
        <w:r w:rsidR="008A582C">
          <w:rPr>
            <w:webHidden/>
          </w:rPr>
          <w:fldChar w:fldCharType="begin"/>
        </w:r>
        <w:r w:rsidR="008A582C">
          <w:rPr>
            <w:webHidden/>
          </w:rPr>
          <w:instrText xml:space="preserve"> PAGEREF _Toc160544082 \h </w:instrText>
        </w:r>
        <w:r w:rsidR="008A582C">
          <w:rPr>
            <w:webHidden/>
          </w:rPr>
        </w:r>
        <w:r w:rsidR="008A582C">
          <w:rPr>
            <w:webHidden/>
          </w:rPr>
          <w:fldChar w:fldCharType="separate"/>
        </w:r>
        <w:r w:rsidR="0013257C">
          <w:rPr>
            <w:webHidden/>
          </w:rPr>
          <w:t>3</w:t>
        </w:r>
        <w:r w:rsidR="008A582C">
          <w:rPr>
            <w:webHidden/>
          </w:rPr>
          <w:fldChar w:fldCharType="end"/>
        </w:r>
      </w:hyperlink>
    </w:p>
    <w:p w14:paraId="5822C798" w14:textId="753FB51C"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083" w:history="1">
        <w:r w:rsidR="008A582C" w:rsidRPr="006A053E">
          <w:rPr>
            <w:rStyle w:val="Hyperlink"/>
            <w:noProof/>
          </w:rPr>
          <w:t>1.1</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Policy statement</w:t>
        </w:r>
        <w:r w:rsidR="008A582C">
          <w:rPr>
            <w:noProof/>
            <w:webHidden/>
          </w:rPr>
          <w:tab/>
        </w:r>
        <w:r w:rsidR="008A582C">
          <w:rPr>
            <w:noProof/>
            <w:webHidden/>
          </w:rPr>
          <w:fldChar w:fldCharType="begin"/>
        </w:r>
        <w:r w:rsidR="008A582C">
          <w:rPr>
            <w:noProof/>
            <w:webHidden/>
          </w:rPr>
          <w:instrText xml:space="preserve"> PAGEREF _Toc160544083 \h </w:instrText>
        </w:r>
        <w:r w:rsidR="008A582C">
          <w:rPr>
            <w:noProof/>
            <w:webHidden/>
          </w:rPr>
        </w:r>
        <w:r w:rsidR="008A582C">
          <w:rPr>
            <w:noProof/>
            <w:webHidden/>
          </w:rPr>
          <w:fldChar w:fldCharType="separate"/>
        </w:r>
        <w:r w:rsidR="0013257C">
          <w:rPr>
            <w:noProof/>
            <w:webHidden/>
          </w:rPr>
          <w:t>3</w:t>
        </w:r>
        <w:r w:rsidR="008A582C">
          <w:rPr>
            <w:noProof/>
            <w:webHidden/>
          </w:rPr>
          <w:fldChar w:fldCharType="end"/>
        </w:r>
      </w:hyperlink>
    </w:p>
    <w:p w14:paraId="494FF20D" w14:textId="3F06EE7A"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084" w:history="1">
        <w:r w:rsidR="008A582C" w:rsidRPr="006A053E">
          <w:rPr>
            <w:rStyle w:val="Hyperlink"/>
            <w:noProof/>
          </w:rPr>
          <w:t>1.2</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Status</w:t>
        </w:r>
        <w:r w:rsidR="008A582C">
          <w:rPr>
            <w:noProof/>
            <w:webHidden/>
          </w:rPr>
          <w:tab/>
        </w:r>
        <w:r w:rsidR="008A582C">
          <w:rPr>
            <w:noProof/>
            <w:webHidden/>
          </w:rPr>
          <w:fldChar w:fldCharType="begin"/>
        </w:r>
        <w:r w:rsidR="008A582C">
          <w:rPr>
            <w:noProof/>
            <w:webHidden/>
          </w:rPr>
          <w:instrText xml:space="preserve"> PAGEREF _Toc160544084 \h </w:instrText>
        </w:r>
        <w:r w:rsidR="008A582C">
          <w:rPr>
            <w:noProof/>
            <w:webHidden/>
          </w:rPr>
        </w:r>
        <w:r w:rsidR="008A582C">
          <w:rPr>
            <w:noProof/>
            <w:webHidden/>
          </w:rPr>
          <w:fldChar w:fldCharType="separate"/>
        </w:r>
        <w:r w:rsidR="0013257C">
          <w:rPr>
            <w:noProof/>
            <w:webHidden/>
          </w:rPr>
          <w:t>3</w:t>
        </w:r>
        <w:r w:rsidR="008A582C">
          <w:rPr>
            <w:noProof/>
            <w:webHidden/>
          </w:rPr>
          <w:fldChar w:fldCharType="end"/>
        </w:r>
      </w:hyperlink>
    </w:p>
    <w:p w14:paraId="1B05C2C7" w14:textId="1135895D" w:rsidR="008A582C" w:rsidRDefault="00E84B5A">
      <w:pPr>
        <w:pStyle w:val="TOC1"/>
        <w:rPr>
          <w:rFonts w:asciiTheme="minorHAnsi" w:eastAsiaTheme="minorEastAsia" w:hAnsiTheme="minorHAnsi" w:cstheme="minorBidi"/>
          <w:b w:val="0"/>
          <w:bCs w:val="0"/>
          <w:kern w:val="2"/>
          <w:lang w:eastAsia="en-GB"/>
          <w14:ligatures w14:val="standardContextual"/>
        </w:rPr>
      </w:pPr>
      <w:hyperlink w:anchor="_Toc160544085" w:history="1">
        <w:r w:rsidR="008A582C" w:rsidRPr="006A053E">
          <w:rPr>
            <w:rStyle w:val="Hyperlink"/>
          </w:rPr>
          <w:t>2</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Data protection</w:t>
        </w:r>
        <w:r w:rsidR="008A582C">
          <w:rPr>
            <w:webHidden/>
          </w:rPr>
          <w:tab/>
        </w:r>
        <w:r w:rsidR="008A582C">
          <w:rPr>
            <w:webHidden/>
          </w:rPr>
          <w:fldChar w:fldCharType="begin"/>
        </w:r>
        <w:r w:rsidR="008A582C">
          <w:rPr>
            <w:webHidden/>
          </w:rPr>
          <w:instrText xml:space="preserve"> PAGEREF _Toc160544085 \h </w:instrText>
        </w:r>
        <w:r w:rsidR="008A582C">
          <w:rPr>
            <w:webHidden/>
          </w:rPr>
        </w:r>
        <w:r w:rsidR="008A582C">
          <w:rPr>
            <w:webHidden/>
          </w:rPr>
          <w:fldChar w:fldCharType="separate"/>
        </w:r>
        <w:r w:rsidR="0013257C">
          <w:rPr>
            <w:webHidden/>
          </w:rPr>
          <w:t>3</w:t>
        </w:r>
        <w:r w:rsidR="008A582C">
          <w:rPr>
            <w:webHidden/>
          </w:rPr>
          <w:fldChar w:fldCharType="end"/>
        </w:r>
      </w:hyperlink>
    </w:p>
    <w:p w14:paraId="470E0EE7" w14:textId="28C92DED"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086" w:history="1">
        <w:r w:rsidR="008A582C" w:rsidRPr="006A053E">
          <w:rPr>
            <w:rStyle w:val="Hyperlink"/>
            <w:noProof/>
          </w:rPr>
          <w:t>2.1</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Data protection by design and default</w:t>
        </w:r>
        <w:r w:rsidR="008A582C">
          <w:rPr>
            <w:noProof/>
            <w:webHidden/>
          </w:rPr>
          <w:tab/>
        </w:r>
        <w:r w:rsidR="008A582C">
          <w:rPr>
            <w:noProof/>
            <w:webHidden/>
          </w:rPr>
          <w:fldChar w:fldCharType="begin"/>
        </w:r>
        <w:r w:rsidR="008A582C">
          <w:rPr>
            <w:noProof/>
            <w:webHidden/>
          </w:rPr>
          <w:instrText xml:space="preserve"> PAGEREF _Toc160544086 \h </w:instrText>
        </w:r>
        <w:r w:rsidR="008A582C">
          <w:rPr>
            <w:noProof/>
            <w:webHidden/>
          </w:rPr>
        </w:r>
        <w:r w:rsidR="008A582C">
          <w:rPr>
            <w:noProof/>
            <w:webHidden/>
          </w:rPr>
          <w:fldChar w:fldCharType="separate"/>
        </w:r>
        <w:r w:rsidR="0013257C">
          <w:rPr>
            <w:noProof/>
            <w:webHidden/>
          </w:rPr>
          <w:t>3</w:t>
        </w:r>
        <w:r w:rsidR="008A582C">
          <w:rPr>
            <w:noProof/>
            <w:webHidden/>
          </w:rPr>
          <w:fldChar w:fldCharType="end"/>
        </w:r>
      </w:hyperlink>
    </w:p>
    <w:p w14:paraId="015EA01E" w14:textId="3E92C885" w:rsidR="008A582C" w:rsidRDefault="00E84B5A">
      <w:pPr>
        <w:pStyle w:val="TOC1"/>
        <w:rPr>
          <w:rFonts w:asciiTheme="minorHAnsi" w:eastAsiaTheme="minorEastAsia" w:hAnsiTheme="minorHAnsi" w:cstheme="minorBidi"/>
          <w:b w:val="0"/>
          <w:bCs w:val="0"/>
          <w:kern w:val="2"/>
          <w:lang w:eastAsia="en-GB"/>
          <w14:ligatures w14:val="standardContextual"/>
        </w:rPr>
      </w:pPr>
      <w:hyperlink w:anchor="_Toc160544087" w:history="1">
        <w:r w:rsidR="008A582C" w:rsidRPr="006A053E">
          <w:rPr>
            <w:rStyle w:val="Hyperlink"/>
          </w:rPr>
          <w:t>3</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Roles of data controllers and processors</w:t>
        </w:r>
        <w:r w:rsidR="008A582C">
          <w:rPr>
            <w:webHidden/>
          </w:rPr>
          <w:tab/>
        </w:r>
        <w:r w:rsidR="008A582C">
          <w:rPr>
            <w:webHidden/>
          </w:rPr>
          <w:fldChar w:fldCharType="begin"/>
        </w:r>
        <w:r w:rsidR="008A582C">
          <w:rPr>
            <w:webHidden/>
          </w:rPr>
          <w:instrText xml:space="preserve"> PAGEREF _Toc160544087 \h </w:instrText>
        </w:r>
        <w:r w:rsidR="008A582C">
          <w:rPr>
            <w:webHidden/>
          </w:rPr>
        </w:r>
        <w:r w:rsidR="008A582C">
          <w:rPr>
            <w:webHidden/>
          </w:rPr>
          <w:fldChar w:fldCharType="separate"/>
        </w:r>
        <w:r w:rsidR="0013257C">
          <w:rPr>
            <w:webHidden/>
          </w:rPr>
          <w:t>4</w:t>
        </w:r>
        <w:r w:rsidR="008A582C">
          <w:rPr>
            <w:webHidden/>
          </w:rPr>
          <w:fldChar w:fldCharType="end"/>
        </w:r>
      </w:hyperlink>
    </w:p>
    <w:p w14:paraId="26315D77" w14:textId="2AEC810E"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088" w:history="1">
        <w:r w:rsidR="008A582C" w:rsidRPr="006A053E">
          <w:rPr>
            <w:rStyle w:val="Hyperlink"/>
            <w:noProof/>
          </w:rPr>
          <w:t>3.1</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Data controller</w:t>
        </w:r>
        <w:r w:rsidR="008A582C">
          <w:rPr>
            <w:noProof/>
            <w:webHidden/>
          </w:rPr>
          <w:tab/>
        </w:r>
        <w:r w:rsidR="008A582C">
          <w:rPr>
            <w:noProof/>
            <w:webHidden/>
          </w:rPr>
          <w:fldChar w:fldCharType="begin"/>
        </w:r>
        <w:r w:rsidR="008A582C">
          <w:rPr>
            <w:noProof/>
            <w:webHidden/>
          </w:rPr>
          <w:instrText xml:space="preserve"> PAGEREF _Toc160544088 \h </w:instrText>
        </w:r>
        <w:r w:rsidR="008A582C">
          <w:rPr>
            <w:noProof/>
            <w:webHidden/>
          </w:rPr>
        </w:r>
        <w:r w:rsidR="008A582C">
          <w:rPr>
            <w:noProof/>
            <w:webHidden/>
          </w:rPr>
          <w:fldChar w:fldCharType="separate"/>
        </w:r>
        <w:r w:rsidR="0013257C">
          <w:rPr>
            <w:noProof/>
            <w:webHidden/>
          </w:rPr>
          <w:t>4</w:t>
        </w:r>
        <w:r w:rsidR="008A582C">
          <w:rPr>
            <w:noProof/>
            <w:webHidden/>
          </w:rPr>
          <w:fldChar w:fldCharType="end"/>
        </w:r>
      </w:hyperlink>
    </w:p>
    <w:p w14:paraId="4EDB6B68" w14:textId="60806640"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089" w:history="1">
        <w:r w:rsidR="008A582C" w:rsidRPr="006A053E">
          <w:rPr>
            <w:rStyle w:val="Hyperlink"/>
            <w:noProof/>
          </w:rPr>
          <w:t>3.2</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Data processor</w:t>
        </w:r>
        <w:r w:rsidR="008A582C">
          <w:rPr>
            <w:noProof/>
            <w:webHidden/>
          </w:rPr>
          <w:tab/>
        </w:r>
        <w:r w:rsidR="008A582C">
          <w:rPr>
            <w:noProof/>
            <w:webHidden/>
          </w:rPr>
          <w:fldChar w:fldCharType="begin"/>
        </w:r>
        <w:r w:rsidR="008A582C">
          <w:rPr>
            <w:noProof/>
            <w:webHidden/>
          </w:rPr>
          <w:instrText xml:space="preserve"> PAGEREF _Toc160544089 \h </w:instrText>
        </w:r>
        <w:r w:rsidR="008A582C">
          <w:rPr>
            <w:noProof/>
            <w:webHidden/>
          </w:rPr>
        </w:r>
        <w:r w:rsidR="008A582C">
          <w:rPr>
            <w:noProof/>
            <w:webHidden/>
          </w:rPr>
          <w:fldChar w:fldCharType="separate"/>
        </w:r>
        <w:r w:rsidR="0013257C">
          <w:rPr>
            <w:noProof/>
            <w:webHidden/>
          </w:rPr>
          <w:t>4</w:t>
        </w:r>
        <w:r w:rsidR="008A582C">
          <w:rPr>
            <w:noProof/>
            <w:webHidden/>
          </w:rPr>
          <w:fldChar w:fldCharType="end"/>
        </w:r>
      </w:hyperlink>
    </w:p>
    <w:p w14:paraId="52B45D91" w14:textId="3B4B23D8" w:rsidR="008A582C" w:rsidRDefault="00E84B5A">
      <w:pPr>
        <w:pStyle w:val="TOC1"/>
        <w:rPr>
          <w:rFonts w:asciiTheme="minorHAnsi" w:eastAsiaTheme="minorEastAsia" w:hAnsiTheme="minorHAnsi" w:cstheme="minorBidi"/>
          <w:b w:val="0"/>
          <w:bCs w:val="0"/>
          <w:kern w:val="2"/>
          <w:lang w:eastAsia="en-GB"/>
          <w14:ligatures w14:val="standardContextual"/>
        </w:rPr>
      </w:pPr>
      <w:hyperlink w:anchor="_Toc160544090" w:history="1">
        <w:r w:rsidR="008A582C" w:rsidRPr="006A053E">
          <w:rPr>
            <w:rStyle w:val="Hyperlink"/>
          </w:rPr>
          <w:t>4</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Data subjects’ rights</w:t>
        </w:r>
        <w:r w:rsidR="008A582C">
          <w:rPr>
            <w:webHidden/>
          </w:rPr>
          <w:tab/>
        </w:r>
        <w:r w:rsidR="008A582C">
          <w:rPr>
            <w:webHidden/>
          </w:rPr>
          <w:fldChar w:fldCharType="begin"/>
        </w:r>
        <w:r w:rsidR="008A582C">
          <w:rPr>
            <w:webHidden/>
          </w:rPr>
          <w:instrText xml:space="preserve"> PAGEREF _Toc160544090 \h </w:instrText>
        </w:r>
        <w:r w:rsidR="008A582C">
          <w:rPr>
            <w:webHidden/>
          </w:rPr>
        </w:r>
        <w:r w:rsidR="008A582C">
          <w:rPr>
            <w:webHidden/>
          </w:rPr>
          <w:fldChar w:fldCharType="separate"/>
        </w:r>
        <w:r w:rsidR="0013257C">
          <w:rPr>
            <w:webHidden/>
          </w:rPr>
          <w:t>5</w:t>
        </w:r>
        <w:r w:rsidR="008A582C">
          <w:rPr>
            <w:webHidden/>
          </w:rPr>
          <w:fldChar w:fldCharType="end"/>
        </w:r>
      </w:hyperlink>
    </w:p>
    <w:p w14:paraId="6C7671AB" w14:textId="798A2AAA"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091" w:history="1">
        <w:r w:rsidR="008A582C" w:rsidRPr="006A053E">
          <w:rPr>
            <w:rStyle w:val="Hyperlink"/>
            <w:noProof/>
          </w:rPr>
          <w:t>4.1</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Right to be informed</w:t>
        </w:r>
        <w:r w:rsidR="008A582C">
          <w:rPr>
            <w:noProof/>
            <w:webHidden/>
          </w:rPr>
          <w:tab/>
        </w:r>
        <w:r w:rsidR="008A582C">
          <w:rPr>
            <w:noProof/>
            <w:webHidden/>
          </w:rPr>
          <w:fldChar w:fldCharType="begin"/>
        </w:r>
        <w:r w:rsidR="008A582C">
          <w:rPr>
            <w:noProof/>
            <w:webHidden/>
          </w:rPr>
          <w:instrText xml:space="preserve"> PAGEREF _Toc160544091 \h </w:instrText>
        </w:r>
        <w:r w:rsidR="008A582C">
          <w:rPr>
            <w:noProof/>
            <w:webHidden/>
          </w:rPr>
        </w:r>
        <w:r w:rsidR="008A582C">
          <w:rPr>
            <w:noProof/>
            <w:webHidden/>
          </w:rPr>
          <w:fldChar w:fldCharType="separate"/>
        </w:r>
        <w:r w:rsidR="0013257C">
          <w:rPr>
            <w:noProof/>
            <w:webHidden/>
          </w:rPr>
          <w:t>5</w:t>
        </w:r>
        <w:r w:rsidR="008A582C">
          <w:rPr>
            <w:noProof/>
            <w:webHidden/>
          </w:rPr>
          <w:fldChar w:fldCharType="end"/>
        </w:r>
      </w:hyperlink>
    </w:p>
    <w:p w14:paraId="16F39FD7" w14:textId="47A7F31D"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092" w:history="1">
        <w:r w:rsidR="008A582C" w:rsidRPr="006A053E">
          <w:rPr>
            <w:rStyle w:val="Hyperlink"/>
            <w:noProof/>
          </w:rPr>
          <w:t>4.2</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Right of access</w:t>
        </w:r>
        <w:r w:rsidR="008A582C">
          <w:rPr>
            <w:noProof/>
            <w:webHidden/>
          </w:rPr>
          <w:tab/>
        </w:r>
        <w:r w:rsidR="008A582C">
          <w:rPr>
            <w:noProof/>
            <w:webHidden/>
          </w:rPr>
          <w:fldChar w:fldCharType="begin"/>
        </w:r>
        <w:r w:rsidR="008A582C">
          <w:rPr>
            <w:noProof/>
            <w:webHidden/>
          </w:rPr>
          <w:instrText xml:space="preserve"> PAGEREF _Toc160544092 \h </w:instrText>
        </w:r>
        <w:r w:rsidR="008A582C">
          <w:rPr>
            <w:noProof/>
            <w:webHidden/>
          </w:rPr>
        </w:r>
        <w:r w:rsidR="008A582C">
          <w:rPr>
            <w:noProof/>
            <w:webHidden/>
          </w:rPr>
          <w:fldChar w:fldCharType="separate"/>
        </w:r>
        <w:r w:rsidR="0013257C">
          <w:rPr>
            <w:noProof/>
            <w:webHidden/>
          </w:rPr>
          <w:t>5</w:t>
        </w:r>
        <w:r w:rsidR="008A582C">
          <w:rPr>
            <w:noProof/>
            <w:webHidden/>
          </w:rPr>
          <w:fldChar w:fldCharType="end"/>
        </w:r>
      </w:hyperlink>
    </w:p>
    <w:p w14:paraId="1B47B22E" w14:textId="35CEB1F1"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093" w:history="1">
        <w:r w:rsidR="008A582C" w:rsidRPr="006A053E">
          <w:rPr>
            <w:rStyle w:val="Hyperlink"/>
            <w:noProof/>
          </w:rPr>
          <w:t>4.3</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Right to rectification</w:t>
        </w:r>
        <w:r w:rsidR="008A582C">
          <w:rPr>
            <w:noProof/>
            <w:webHidden/>
          </w:rPr>
          <w:tab/>
        </w:r>
        <w:r w:rsidR="008A582C">
          <w:rPr>
            <w:noProof/>
            <w:webHidden/>
          </w:rPr>
          <w:fldChar w:fldCharType="begin"/>
        </w:r>
        <w:r w:rsidR="008A582C">
          <w:rPr>
            <w:noProof/>
            <w:webHidden/>
          </w:rPr>
          <w:instrText xml:space="preserve"> PAGEREF _Toc160544093 \h </w:instrText>
        </w:r>
        <w:r w:rsidR="008A582C">
          <w:rPr>
            <w:noProof/>
            <w:webHidden/>
          </w:rPr>
        </w:r>
        <w:r w:rsidR="008A582C">
          <w:rPr>
            <w:noProof/>
            <w:webHidden/>
          </w:rPr>
          <w:fldChar w:fldCharType="separate"/>
        </w:r>
        <w:r w:rsidR="0013257C">
          <w:rPr>
            <w:noProof/>
            <w:webHidden/>
          </w:rPr>
          <w:t>6</w:t>
        </w:r>
        <w:r w:rsidR="008A582C">
          <w:rPr>
            <w:noProof/>
            <w:webHidden/>
          </w:rPr>
          <w:fldChar w:fldCharType="end"/>
        </w:r>
      </w:hyperlink>
    </w:p>
    <w:p w14:paraId="288B5598" w14:textId="37240696"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094" w:history="1">
        <w:r w:rsidR="008A582C" w:rsidRPr="006A053E">
          <w:rPr>
            <w:rStyle w:val="Hyperlink"/>
            <w:noProof/>
          </w:rPr>
          <w:t>4.4</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Right to erasure</w:t>
        </w:r>
        <w:r w:rsidR="008A582C">
          <w:rPr>
            <w:noProof/>
            <w:webHidden/>
          </w:rPr>
          <w:tab/>
        </w:r>
        <w:r w:rsidR="008A582C">
          <w:rPr>
            <w:noProof/>
            <w:webHidden/>
          </w:rPr>
          <w:fldChar w:fldCharType="begin"/>
        </w:r>
        <w:r w:rsidR="008A582C">
          <w:rPr>
            <w:noProof/>
            <w:webHidden/>
          </w:rPr>
          <w:instrText xml:space="preserve"> PAGEREF _Toc160544094 \h </w:instrText>
        </w:r>
        <w:r w:rsidR="008A582C">
          <w:rPr>
            <w:noProof/>
            <w:webHidden/>
          </w:rPr>
        </w:r>
        <w:r w:rsidR="008A582C">
          <w:rPr>
            <w:noProof/>
            <w:webHidden/>
          </w:rPr>
          <w:fldChar w:fldCharType="separate"/>
        </w:r>
        <w:r w:rsidR="0013257C">
          <w:rPr>
            <w:noProof/>
            <w:webHidden/>
          </w:rPr>
          <w:t>6</w:t>
        </w:r>
        <w:r w:rsidR="008A582C">
          <w:rPr>
            <w:noProof/>
            <w:webHidden/>
          </w:rPr>
          <w:fldChar w:fldCharType="end"/>
        </w:r>
      </w:hyperlink>
    </w:p>
    <w:p w14:paraId="045F7B9E" w14:textId="30CEDEC8"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095" w:history="1">
        <w:r w:rsidR="008A582C" w:rsidRPr="006A053E">
          <w:rPr>
            <w:rStyle w:val="Hyperlink"/>
            <w:noProof/>
          </w:rPr>
          <w:t>4.5</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Right to restrict processing</w:t>
        </w:r>
        <w:r w:rsidR="008A582C">
          <w:rPr>
            <w:noProof/>
            <w:webHidden/>
          </w:rPr>
          <w:tab/>
        </w:r>
        <w:r w:rsidR="008A582C">
          <w:rPr>
            <w:noProof/>
            <w:webHidden/>
          </w:rPr>
          <w:fldChar w:fldCharType="begin"/>
        </w:r>
        <w:r w:rsidR="008A582C">
          <w:rPr>
            <w:noProof/>
            <w:webHidden/>
          </w:rPr>
          <w:instrText xml:space="preserve"> PAGEREF _Toc160544095 \h </w:instrText>
        </w:r>
        <w:r w:rsidR="008A582C">
          <w:rPr>
            <w:noProof/>
            <w:webHidden/>
          </w:rPr>
        </w:r>
        <w:r w:rsidR="008A582C">
          <w:rPr>
            <w:noProof/>
            <w:webHidden/>
          </w:rPr>
          <w:fldChar w:fldCharType="separate"/>
        </w:r>
        <w:r w:rsidR="0013257C">
          <w:rPr>
            <w:noProof/>
            <w:webHidden/>
          </w:rPr>
          <w:t>6</w:t>
        </w:r>
        <w:r w:rsidR="008A582C">
          <w:rPr>
            <w:noProof/>
            <w:webHidden/>
          </w:rPr>
          <w:fldChar w:fldCharType="end"/>
        </w:r>
      </w:hyperlink>
    </w:p>
    <w:p w14:paraId="5E16163E" w14:textId="456B91C7"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096" w:history="1">
        <w:r w:rsidR="008A582C" w:rsidRPr="006A053E">
          <w:rPr>
            <w:rStyle w:val="Hyperlink"/>
            <w:noProof/>
          </w:rPr>
          <w:t>4.6</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Right to data portability</w:t>
        </w:r>
        <w:r w:rsidR="008A582C">
          <w:rPr>
            <w:noProof/>
            <w:webHidden/>
          </w:rPr>
          <w:tab/>
        </w:r>
        <w:r w:rsidR="008A582C">
          <w:rPr>
            <w:noProof/>
            <w:webHidden/>
          </w:rPr>
          <w:fldChar w:fldCharType="begin"/>
        </w:r>
        <w:r w:rsidR="008A582C">
          <w:rPr>
            <w:noProof/>
            <w:webHidden/>
          </w:rPr>
          <w:instrText xml:space="preserve"> PAGEREF _Toc160544096 \h </w:instrText>
        </w:r>
        <w:r w:rsidR="008A582C">
          <w:rPr>
            <w:noProof/>
            <w:webHidden/>
          </w:rPr>
        </w:r>
        <w:r w:rsidR="008A582C">
          <w:rPr>
            <w:noProof/>
            <w:webHidden/>
          </w:rPr>
          <w:fldChar w:fldCharType="separate"/>
        </w:r>
        <w:r w:rsidR="0013257C">
          <w:rPr>
            <w:noProof/>
            <w:webHidden/>
          </w:rPr>
          <w:t>6</w:t>
        </w:r>
        <w:r w:rsidR="008A582C">
          <w:rPr>
            <w:noProof/>
            <w:webHidden/>
          </w:rPr>
          <w:fldChar w:fldCharType="end"/>
        </w:r>
      </w:hyperlink>
    </w:p>
    <w:p w14:paraId="10602B0F" w14:textId="164075F3"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097" w:history="1">
        <w:r w:rsidR="008A582C" w:rsidRPr="006A053E">
          <w:rPr>
            <w:rStyle w:val="Hyperlink"/>
            <w:noProof/>
          </w:rPr>
          <w:t>4.7</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Right to object</w:t>
        </w:r>
        <w:r w:rsidR="008A582C">
          <w:rPr>
            <w:noProof/>
            <w:webHidden/>
          </w:rPr>
          <w:tab/>
        </w:r>
        <w:r w:rsidR="008A582C">
          <w:rPr>
            <w:noProof/>
            <w:webHidden/>
          </w:rPr>
          <w:fldChar w:fldCharType="begin"/>
        </w:r>
        <w:r w:rsidR="008A582C">
          <w:rPr>
            <w:noProof/>
            <w:webHidden/>
          </w:rPr>
          <w:instrText xml:space="preserve"> PAGEREF _Toc160544097 \h </w:instrText>
        </w:r>
        <w:r w:rsidR="008A582C">
          <w:rPr>
            <w:noProof/>
            <w:webHidden/>
          </w:rPr>
        </w:r>
        <w:r w:rsidR="008A582C">
          <w:rPr>
            <w:noProof/>
            <w:webHidden/>
          </w:rPr>
          <w:fldChar w:fldCharType="separate"/>
        </w:r>
        <w:r w:rsidR="0013257C">
          <w:rPr>
            <w:noProof/>
            <w:webHidden/>
          </w:rPr>
          <w:t>7</w:t>
        </w:r>
        <w:r w:rsidR="008A582C">
          <w:rPr>
            <w:noProof/>
            <w:webHidden/>
          </w:rPr>
          <w:fldChar w:fldCharType="end"/>
        </w:r>
      </w:hyperlink>
    </w:p>
    <w:p w14:paraId="54608C74" w14:textId="21F2BDDA"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098" w:history="1">
        <w:r w:rsidR="008A582C" w:rsidRPr="006A053E">
          <w:rPr>
            <w:rStyle w:val="Hyperlink"/>
            <w:noProof/>
          </w:rPr>
          <w:t>4.8</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Rights in relation to automated decision making and profiling</w:t>
        </w:r>
        <w:r w:rsidR="008A582C">
          <w:rPr>
            <w:noProof/>
            <w:webHidden/>
          </w:rPr>
          <w:tab/>
        </w:r>
        <w:r w:rsidR="008A582C">
          <w:rPr>
            <w:noProof/>
            <w:webHidden/>
          </w:rPr>
          <w:fldChar w:fldCharType="begin"/>
        </w:r>
        <w:r w:rsidR="008A582C">
          <w:rPr>
            <w:noProof/>
            <w:webHidden/>
          </w:rPr>
          <w:instrText xml:space="preserve"> PAGEREF _Toc160544098 \h </w:instrText>
        </w:r>
        <w:r w:rsidR="008A582C">
          <w:rPr>
            <w:noProof/>
            <w:webHidden/>
          </w:rPr>
        </w:r>
        <w:r w:rsidR="008A582C">
          <w:rPr>
            <w:noProof/>
            <w:webHidden/>
          </w:rPr>
          <w:fldChar w:fldCharType="separate"/>
        </w:r>
        <w:r w:rsidR="0013257C">
          <w:rPr>
            <w:noProof/>
            <w:webHidden/>
          </w:rPr>
          <w:t>7</w:t>
        </w:r>
        <w:r w:rsidR="008A582C">
          <w:rPr>
            <w:noProof/>
            <w:webHidden/>
          </w:rPr>
          <w:fldChar w:fldCharType="end"/>
        </w:r>
      </w:hyperlink>
    </w:p>
    <w:p w14:paraId="16F92C37" w14:textId="52608FC9" w:rsidR="008A582C" w:rsidRDefault="00E84B5A">
      <w:pPr>
        <w:pStyle w:val="TOC1"/>
        <w:rPr>
          <w:rFonts w:asciiTheme="minorHAnsi" w:eastAsiaTheme="minorEastAsia" w:hAnsiTheme="minorHAnsi" w:cstheme="minorBidi"/>
          <w:b w:val="0"/>
          <w:bCs w:val="0"/>
          <w:kern w:val="2"/>
          <w:lang w:eastAsia="en-GB"/>
          <w14:ligatures w14:val="standardContextual"/>
        </w:rPr>
      </w:pPr>
      <w:hyperlink w:anchor="_Toc160544099" w:history="1">
        <w:r w:rsidR="008A582C" w:rsidRPr="006A053E">
          <w:rPr>
            <w:rStyle w:val="Hyperlink"/>
          </w:rPr>
          <w:t>5</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Subject access requests</w:t>
        </w:r>
        <w:r w:rsidR="008A582C">
          <w:rPr>
            <w:webHidden/>
          </w:rPr>
          <w:tab/>
        </w:r>
        <w:r w:rsidR="008A582C">
          <w:rPr>
            <w:webHidden/>
          </w:rPr>
          <w:fldChar w:fldCharType="begin"/>
        </w:r>
        <w:r w:rsidR="008A582C">
          <w:rPr>
            <w:webHidden/>
          </w:rPr>
          <w:instrText xml:space="preserve"> PAGEREF _Toc160544099 \h </w:instrText>
        </w:r>
        <w:r w:rsidR="008A582C">
          <w:rPr>
            <w:webHidden/>
          </w:rPr>
        </w:r>
        <w:r w:rsidR="008A582C">
          <w:rPr>
            <w:webHidden/>
          </w:rPr>
          <w:fldChar w:fldCharType="separate"/>
        </w:r>
        <w:r w:rsidR="0013257C">
          <w:rPr>
            <w:webHidden/>
          </w:rPr>
          <w:t>7</w:t>
        </w:r>
        <w:r w:rsidR="008A582C">
          <w:rPr>
            <w:webHidden/>
          </w:rPr>
          <w:fldChar w:fldCharType="end"/>
        </w:r>
      </w:hyperlink>
    </w:p>
    <w:p w14:paraId="7021E6EF" w14:textId="18D78B24"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00" w:history="1">
        <w:r w:rsidR="008A582C" w:rsidRPr="006A053E">
          <w:rPr>
            <w:rStyle w:val="Hyperlink"/>
            <w:noProof/>
          </w:rPr>
          <w:t>5.1</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Recognising subject access requests (SAR)</w:t>
        </w:r>
        <w:r w:rsidR="008A582C">
          <w:rPr>
            <w:noProof/>
            <w:webHidden/>
          </w:rPr>
          <w:tab/>
        </w:r>
        <w:r w:rsidR="008A582C">
          <w:rPr>
            <w:noProof/>
            <w:webHidden/>
          </w:rPr>
          <w:fldChar w:fldCharType="begin"/>
        </w:r>
        <w:r w:rsidR="008A582C">
          <w:rPr>
            <w:noProof/>
            <w:webHidden/>
          </w:rPr>
          <w:instrText xml:space="preserve"> PAGEREF _Toc160544100 \h </w:instrText>
        </w:r>
        <w:r w:rsidR="008A582C">
          <w:rPr>
            <w:noProof/>
            <w:webHidden/>
          </w:rPr>
        </w:r>
        <w:r w:rsidR="008A582C">
          <w:rPr>
            <w:noProof/>
            <w:webHidden/>
          </w:rPr>
          <w:fldChar w:fldCharType="separate"/>
        </w:r>
        <w:r w:rsidR="0013257C">
          <w:rPr>
            <w:noProof/>
            <w:webHidden/>
          </w:rPr>
          <w:t>7</w:t>
        </w:r>
        <w:r w:rsidR="008A582C">
          <w:rPr>
            <w:noProof/>
            <w:webHidden/>
          </w:rPr>
          <w:fldChar w:fldCharType="end"/>
        </w:r>
      </w:hyperlink>
    </w:p>
    <w:p w14:paraId="5FA55E6D" w14:textId="729B6B4F"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01" w:history="1">
        <w:r w:rsidR="008A582C" w:rsidRPr="006A053E">
          <w:rPr>
            <w:rStyle w:val="Hyperlink"/>
            <w:noProof/>
          </w:rPr>
          <w:t>5.2</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Responding to a subject access request</w:t>
        </w:r>
        <w:r w:rsidR="008A582C">
          <w:rPr>
            <w:noProof/>
            <w:webHidden/>
          </w:rPr>
          <w:tab/>
        </w:r>
        <w:r w:rsidR="008A582C">
          <w:rPr>
            <w:noProof/>
            <w:webHidden/>
          </w:rPr>
          <w:fldChar w:fldCharType="begin"/>
        </w:r>
        <w:r w:rsidR="008A582C">
          <w:rPr>
            <w:noProof/>
            <w:webHidden/>
          </w:rPr>
          <w:instrText xml:space="preserve"> PAGEREF _Toc160544101 \h </w:instrText>
        </w:r>
        <w:r w:rsidR="008A582C">
          <w:rPr>
            <w:noProof/>
            <w:webHidden/>
          </w:rPr>
        </w:r>
        <w:r w:rsidR="008A582C">
          <w:rPr>
            <w:noProof/>
            <w:webHidden/>
          </w:rPr>
          <w:fldChar w:fldCharType="separate"/>
        </w:r>
        <w:r w:rsidR="0013257C">
          <w:rPr>
            <w:noProof/>
            <w:webHidden/>
          </w:rPr>
          <w:t>7</w:t>
        </w:r>
        <w:r w:rsidR="008A582C">
          <w:rPr>
            <w:noProof/>
            <w:webHidden/>
          </w:rPr>
          <w:fldChar w:fldCharType="end"/>
        </w:r>
      </w:hyperlink>
    </w:p>
    <w:p w14:paraId="66246253" w14:textId="771873A8"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02" w:history="1">
        <w:r w:rsidR="008A582C" w:rsidRPr="006A053E">
          <w:rPr>
            <w:rStyle w:val="Hyperlink"/>
            <w:noProof/>
          </w:rPr>
          <w:t>5.3</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Fees</w:t>
        </w:r>
        <w:r w:rsidR="008A582C">
          <w:rPr>
            <w:noProof/>
            <w:webHidden/>
          </w:rPr>
          <w:tab/>
        </w:r>
        <w:r w:rsidR="008A582C">
          <w:rPr>
            <w:noProof/>
            <w:webHidden/>
          </w:rPr>
          <w:fldChar w:fldCharType="begin"/>
        </w:r>
        <w:r w:rsidR="008A582C">
          <w:rPr>
            <w:noProof/>
            <w:webHidden/>
          </w:rPr>
          <w:instrText xml:space="preserve"> PAGEREF _Toc160544102 \h </w:instrText>
        </w:r>
        <w:r w:rsidR="008A582C">
          <w:rPr>
            <w:noProof/>
            <w:webHidden/>
          </w:rPr>
        </w:r>
        <w:r w:rsidR="008A582C">
          <w:rPr>
            <w:noProof/>
            <w:webHidden/>
          </w:rPr>
          <w:fldChar w:fldCharType="separate"/>
        </w:r>
        <w:r w:rsidR="0013257C">
          <w:rPr>
            <w:noProof/>
            <w:webHidden/>
          </w:rPr>
          <w:t>7</w:t>
        </w:r>
        <w:r w:rsidR="008A582C">
          <w:rPr>
            <w:noProof/>
            <w:webHidden/>
          </w:rPr>
          <w:fldChar w:fldCharType="end"/>
        </w:r>
      </w:hyperlink>
    </w:p>
    <w:p w14:paraId="1CDCE51E" w14:textId="22C685FD"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03" w:history="1">
        <w:r w:rsidR="008A582C" w:rsidRPr="006A053E">
          <w:rPr>
            <w:rStyle w:val="Hyperlink"/>
            <w:noProof/>
          </w:rPr>
          <w:t>5.4</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Verifying the subject access request</w:t>
        </w:r>
        <w:r w:rsidR="008A582C">
          <w:rPr>
            <w:noProof/>
            <w:webHidden/>
          </w:rPr>
          <w:tab/>
        </w:r>
        <w:r w:rsidR="008A582C">
          <w:rPr>
            <w:noProof/>
            <w:webHidden/>
          </w:rPr>
          <w:fldChar w:fldCharType="begin"/>
        </w:r>
        <w:r w:rsidR="008A582C">
          <w:rPr>
            <w:noProof/>
            <w:webHidden/>
          </w:rPr>
          <w:instrText xml:space="preserve"> PAGEREF _Toc160544103 \h </w:instrText>
        </w:r>
        <w:r w:rsidR="008A582C">
          <w:rPr>
            <w:noProof/>
            <w:webHidden/>
          </w:rPr>
        </w:r>
        <w:r w:rsidR="008A582C">
          <w:rPr>
            <w:noProof/>
            <w:webHidden/>
          </w:rPr>
          <w:fldChar w:fldCharType="separate"/>
        </w:r>
        <w:r w:rsidR="0013257C">
          <w:rPr>
            <w:noProof/>
            <w:webHidden/>
          </w:rPr>
          <w:t>8</w:t>
        </w:r>
        <w:r w:rsidR="008A582C">
          <w:rPr>
            <w:noProof/>
            <w:webHidden/>
          </w:rPr>
          <w:fldChar w:fldCharType="end"/>
        </w:r>
      </w:hyperlink>
    </w:p>
    <w:p w14:paraId="614E7701" w14:textId="0DF510AE"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04" w:history="1">
        <w:r w:rsidR="008A582C" w:rsidRPr="006A053E">
          <w:rPr>
            <w:rStyle w:val="Hyperlink"/>
            <w:noProof/>
          </w:rPr>
          <w:t>5.5</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Supplying the requested information</w:t>
        </w:r>
        <w:r w:rsidR="008A582C">
          <w:rPr>
            <w:noProof/>
            <w:webHidden/>
          </w:rPr>
          <w:tab/>
        </w:r>
        <w:r w:rsidR="008A582C">
          <w:rPr>
            <w:noProof/>
            <w:webHidden/>
          </w:rPr>
          <w:fldChar w:fldCharType="begin"/>
        </w:r>
        <w:r w:rsidR="008A582C">
          <w:rPr>
            <w:noProof/>
            <w:webHidden/>
          </w:rPr>
          <w:instrText xml:space="preserve"> PAGEREF _Toc160544104 \h </w:instrText>
        </w:r>
        <w:r w:rsidR="008A582C">
          <w:rPr>
            <w:noProof/>
            <w:webHidden/>
          </w:rPr>
        </w:r>
        <w:r w:rsidR="008A582C">
          <w:rPr>
            <w:noProof/>
            <w:webHidden/>
          </w:rPr>
          <w:fldChar w:fldCharType="separate"/>
        </w:r>
        <w:r w:rsidR="0013257C">
          <w:rPr>
            <w:noProof/>
            <w:webHidden/>
          </w:rPr>
          <w:t>8</w:t>
        </w:r>
        <w:r w:rsidR="008A582C">
          <w:rPr>
            <w:noProof/>
            <w:webHidden/>
          </w:rPr>
          <w:fldChar w:fldCharType="end"/>
        </w:r>
      </w:hyperlink>
    </w:p>
    <w:p w14:paraId="1A3849AB" w14:textId="581B9F4E"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05" w:history="1">
        <w:r w:rsidR="008A582C" w:rsidRPr="006A053E">
          <w:rPr>
            <w:rStyle w:val="Hyperlink"/>
            <w:noProof/>
          </w:rPr>
          <w:t>5.6</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Third party requests</w:t>
        </w:r>
        <w:r w:rsidR="008A582C">
          <w:rPr>
            <w:noProof/>
            <w:webHidden/>
          </w:rPr>
          <w:tab/>
        </w:r>
        <w:r w:rsidR="008A582C">
          <w:rPr>
            <w:noProof/>
            <w:webHidden/>
          </w:rPr>
          <w:fldChar w:fldCharType="begin"/>
        </w:r>
        <w:r w:rsidR="008A582C">
          <w:rPr>
            <w:noProof/>
            <w:webHidden/>
          </w:rPr>
          <w:instrText xml:space="preserve"> PAGEREF _Toc160544105 \h </w:instrText>
        </w:r>
        <w:r w:rsidR="008A582C">
          <w:rPr>
            <w:noProof/>
            <w:webHidden/>
          </w:rPr>
        </w:r>
        <w:r w:rsidR="008A582C">
          <w:rPr>
            <w:noProof/>
            <w:webHidden/>
          </w:rPr>
          <w:fldChar w:fldCharType="separate"/>
        </w:r>
        <w:r w:rsidR="0013257C">
          <w:rPr>
            <w:noProof/>
            <w:webHidden/>
          </w:rPr>
          <w:t>8</w:t>
        </w:r>
        <w:r w:rsidR="008A582C">
          <w:rPr>
            <w:noProof/>
            <w:webHidden/>
          </w:rPr>
          <w:fldChar w:fldCharType="end"/>
        </w:r>
      </w:hyperlink>
    </w:p>
    <w:p w14:paraId="7C6ED299" w14:textId="3D6701D9"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06" w:history="1">
        <w:r w:rsidR="008A582C" w:rsidRPr="006A053E">
          <w:rPr>
            <w:rStyle w:val="Hyperlink"/>
            <w:noProof/>
          </w:rPr>
          <w:t>5.7</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Requests from solicitors</w:t>
        </w:r>
        <w:r w:rsidR="008A582C">
          <w:rPr>
            <w:noProof/>
            <w:webHidden/>
          </w:rPr>
          <w:tab/>
        </w:r>
        <w:r w:rsidR="008A582C">
          <w:rPr>
            <w:noProof/>
            <w:webHidden/>
          </w:rPr>
          <w:fldChar w:fldCharType="begin"/>
        </w:r>
        <w:r w:rsidR="008A582C">
          <w:rPr>
            <w:noProof/>
            <w:webHidden/>
          </w:rPr>
          <w:instrText xml:space="preserve"> PAGEREF _Toc160544106 \h </w:instrText>
        </w:r>
        <w:r w:rsidR="008A582C">
          <w:rPr>
            <w:noProof/>
            <w:webHidden/>
          </w:rPr>
        </w:r>
        <w:r w:rsidR="008A582C">
          <w:rPr>
            <w:noProof/>
            <w:webHidden/>
          </w:rPr>
          <w:fldChar w:fldCharType="separate"/>
        </w:r>
        <w:r w:rsidR="0013257C">
          <w:rPr>
            <w:noProof/>
            <w:webHidden/>
          </w:rPr>
          <w:t>8</w:t>
        </w:r>
        <w:r w:rsidR="008A582C">
          <w:rPr>
            <w:noProof/>
            <w:webHidden/>
          </w:rPr>
          <w:fldChar w:fldCharType="end"/>
        </w:r>
      </w:hyperlink>
    </w:p>
    <w:p w14:paraId="4292419A" w14:textId="525A9968"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07" w:history="1">
        <w:r w:rsidR="008A582C" w:rsidRPr="006A053E">
          <w:rPr>
            <w:rStyle w:val="Hyperlink"/>
            <w:noProof/>
          </w:rPr>
          <w:t>5.8</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Requests from insurers</w:t>
        </w:r>
        <w:r w:rsidR="008A582C">
          <w:rPr>
            <w:noProof/>
            <w:webHidden/>
          </w:rPr>
          <w:tab/>
        </w:r>
        <w:r w:rsidR="008A582C">
          <w:rPr>
            <w:noProof/>
            <w:webHidden/>
          </w:rPr>
          <w:fldChar w:fldCharType="begin"/>
        </w:r>
        <w:r w:rsidR="008A582C">
          <w:rPr>
            <w:noProof/>
            <w:webHidden/>
          </w:rPr>
          <w:instrText xml:space="preserve"> PAGEREF _Toc160544107 \h </w:instrText>
        </w:r>
        <w:r w:rsidR="008A582C">
          <w:rPr>
            <w:noProof/>
            <w:webHidden/>
          </w:rPr>
        </w:r>
        <w:r w:rsidR="008A582C">
          <w:rPr>
            <w:noProof/>
            <w:webHidden/>
          </w:rPr>
          <w:fldChar w:fldCharType="separate"/>
        </w:r>
        <w:r w:rsidR="0013257C">
          <w:rPr>
            <w:noProof/>
            <w:webHidden/>
          </w:rPr>
          <w:t>8</w:t>
        </w:r>
        <w:r w:rsidR="008A582C">
          <w:rPr>
            <w:noProof/>
            <w:webHidden/>
          </w:rPr>
          <w:fldChar w:fldCharType="end"/>
        </w:r>
      </w:hyperlink>
    </w:p>
    <w:p w14:paraId="7FEB7AE5" w14:textId="55D67269"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08" w:history="1">
        <w:r w:rsidR="008A582C" w:rsidRPr="006A053E">
          <w:rPr>
            <w:rStyle w:val="Hyperlink"/>
            <w:noProof/>
          </w:rPr>
          <w:t>5.9</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Refusing to comply with a SAR</w:t>
        </w:r>
        <w:r w:rsidR="008A582C">
          <w:rPr>
            <w:noProof/>
            <w:webHidden/>
          </w:rPr>
          <w:tab/>
        </w:r>
        <w:r w:rsidR="008A582C">
          <w:rPr>
            <w:noProof/>
            <w:webHidden/>
          </w:rPr>
          <w:fldChar w:fldCharType="begin"/>
        </w:r>
        <w:r w:rsidR="008A582C">
          <w:rPr>
            <w:noProof/>
            <w:webHidden/>
          </w:rPr>
          <w:instrText xml:space="preserve"> PAGEREF _Toc160544108 \h </w:instrText>
        </w:r>
        <w:r w:rsidR="008A582C">
          <w:rPr>
            <w:noProof/>
            <w:webHidden/>
          </w:rPr>
        </w:r>
        <w:r w:rsidR="008A582C">
          <w:rPr>
            <w:noProof/>
            <w:webHidden/>
          </w:rPr>
          <w:fldChar w:fldCharType="separate"/>
        </w:r>
        <w:r w:rsidR="0013257C">
          <w:rPr>
            <w:noProof/>
            <w:webHidden/>
          </w:rPr>
          <w:t>9</w:t>
        </w:r>
        <w:r w:rsidR="008A582C">
          <w:rPr>
            <w:noProof/>
            <w:webHidden/>
          </w:rPr>
          <w:fldChar w:fldCharType="end"/>
        </w:r>
      </w:hyperlink>
    </w:p>
    <w:p w14:paraId="07D6AE1D" w14:textId="319D4A9A" w:rsidR="008A582C" w:rsidRDefault="00E84B5A">
      <w:pPr>
        <w:pStyle w:val="TOC1"/>
        <w:rPr>
          <w:rFonts w:asciiTheme="minorHAnsi" w:eastAsiaTheme="minorEastAsia" w:hAnsiTheme="minorHAnsi" w:cstheme="minorBidi"/>
          <w:b w:val="0"/>
          <w:bCs w:val="0"/>
          <w:kern w:val="2"/>
          <w:lang w:eastAsia="en-GB"/>
          <w14:ligatures w14:val="standardContextual"/>
        </w:rPr>
      </w:pPr>
      <w:hyperlink w:anchor="_Toc160544109" w:history="1">
        <w:r w:rsidR="008A582C" w:rsidRPr="006A053E">
          <w:rPr>
            <w:rStyle w:val="Hyperlink"/>
          </w:rPr>
          <w:t>6</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Data breaches</w:t>
        </w:r>
        <w:r w:rsidR="008A582C">
          <w:rPr>
            <w:webHidden/>
          </w:rPr>
          <w:tab/>
        </w:r>
        <w:r w:rsidR="008A582C">
          <w:rPr>
            <w:webHidden/>
          </w:rPr>
          <w:fldChar w:fldCharType="begin"/>
        </w:r>
        <w:r w:rsidR="008A582C">
          <w:rPr>
            <w:webHidden/>
          </w:rPr>
          <w:instrText xml:space="preserve"> PAGEREF _Toc160544109 \h </w:instrText>
        </w:r>
        <w:r w:rsidR="008A582C">
          <w:rPr>
            <w:webHidden/>
          </w:rPr>
        </w:r>
        <w:r w:rsidR="008A582C">
          <w:rPr>
            <w:webHidden/>
          </w:rPr>
          <w:fldChar w:fldCharType="separate"/>
        </w:r>
        <w:r w:rsidR="0013257C">
          <w:rPr>
            <w:webHidden/>
          </w:rPr>
          <w:t>9</w:t>
        </w:r>
        <w:r w:rsidR="008A582C">
          <w:rPr>
            <w:webHidden/>
          </w:rPr>
          <w:fldChar w:fldCharType="end"/>
        </w:r>
      </w:hyperlink>
    </w:p>
    <w:p w14:paraId="51E23905" w14:textId="06CAA4A1"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10" w:history="1">
        <w:r w:rsidR="008A582C" w:rsidRPr="006A053E">
          <w:rPr>
            <w:rStyle w:val="Hyperlink"/>
            <w:noProof/>
          </w:rPr>
          <w:t>6.1</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Data breach definition</w:t>
        </w:r>
        <w:r w:rsidR="008A582C">
          <w:rPr>
            <w:noProof/>
            <w:webHidden/>
          </w:rPr>
          <w:tab/>
        </w:r>
        <w:r w:rsidR="008A582C">
          <w:rPr>
            <w:noProof/>
            <w:webHidden/>
          </w:rPr>
          <w:fldChar w:fldCharType="begin"/>
        </w:r>
        <w:r w:rsidR="008A582C">
          <w:rPr>
            <w:noProof/>
            <w:webHidden/>
          </w:rPr>
          <w:instrText xml:space="preserve"> PAGEREF _Toc160544110 \h </w:instrText>
        </w:r>
        <w:r w:rsidR="008A582C">
          <w:rPr>
            <w:noProof/>
            <w:webHidden/>
          </w:rPr>
        </w:r>
        <w:r w:rsidR="008A582C">
          <w:rPr>
            <w:noProof/>
            <w:webHidden/>
          </w:rPr>
          <w:fldChar w:fldCharType="separate"/>
        </w:r>
        <w:r w:rsidR="0013257C">
          <w:rPr>
            <w:noProof/>
            <w:webHidden/>
          </w:rPr>
          <w:t>9</w:t>
        </w:r>
        <w:r w:rsidR="008A582C">
          <w:rPr>
            <w:noProof/>
            <w:webHidden/>
          </w:rPr>
          <w:fldChar w:fldCharType="end"/>
        </w:r>
      </w:hyperlink>
    </w:p>
    <w:p w14:paraId="6EB24E47" w14:textId="6631F0F4"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11" w:history="1">
        <w:r w:rsidR="008A582C" w:rsidRPr="006A053E">
          <w:rPr>
            <w:rStyle w:val="Hyperlink"/>
            <w:noProof/>
          </w:rPr>
          <w:t>6.2</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Reporting a data breach</w:t>
        </w:r>
        <w:r w:rsidR="008A582C">
          <w:rPr>
            <w:noProof/>
            <w:webHidden/>
          </w:rPr>
          <w:tab/>
        </w:r>
        <w:r w:rsidR="008A582C">
          <w:rPr>
            <w:noProof/>
            <w:webHidden/>
          </w:rPr>
          <w:fldChar w:fldCharType="begin"/>
        </w:r>
        <w:r w:rsidR="008A582C">
          <w:rPr>
            <w:noProof/>
            <w:webHidden/>
          </w:rPr>
          <w:instrText xml:space="preserve"> PAGEREF _Toc160544111 \h </w:instrText>
        </w:r>
        <w:r w:rsidR="008A582C">
          <w:rPr>
            <w:noProof/>
            <w:webHidden/>
          </w:rPr>
        </w:r>
        <w:r w:rsidR="008A582C">
          <w:rPr>
            <w:noProof/>
            <w:webHidden/>
          </w:rPr>
          <w:fldChar w:fldCharType="separate"/>
        </w:r>
        <w:r w:rsidR="0013257C">
          <w:rPr>
            <w:noProof/>
            <w:webHidden/>
          </w:rPr>
          <w:t>9</w:t>
        </w:r>
        <w:r w:rsidR="008A582C">
          <w:rPr>
            <w:noProof/>
            <w:webHidden/>
          </w:rPr>
          <w:fldChar w:fldCharType="end"/>
        </w:r>
      </w:hyperlink>
    </w:p>
    <w:p w14:paraId="4971F559" w14:textId="27DA4172"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12" w:history="1">
        <w:r w:rsidR="008A582C" w:rsidRPr="006A053E">
          <w:rPr>
            <w:rStyle w:val="Hyperlink"/>
            <w:noProof/>
          </w:rPr>
          <w:t>6.3</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Notifying a data subject of a breach</w:t>
        </w:r>
        <w:r w:rsidR="008A582C">
          <w:rPr>
            <w:noProof/>
            <w:webHidden/>
          </w:rPr>
          <w:tab/>
        </w:r>
        <w:r w:rsidR="008A582C">
          <w:rPr>
            <w:noProof/>
            <w:webHidden/>
          </w:rPr>
          <w:fldChar w:fldCharType="begin"/>
        </w:r>
        <w:r w:rsidR="008A582C">
          <w:rPr>
            <w:noProof/>
            <w:webHidden/>
          </w:rPr>
          <w:instrText xml:space="preserve"> PAGEREF _Toc160544112 \h </w:instrText>
        </w:r>
        <w:r w:rsidR="008A582C">
          <w:rPr>
            <w:noProof/>
            <w:webHidden/>
          </w:rPr>
        </w:r>
        <w:r w:rsidR="008A582C">
          <w:rPr>
            <w:noProof/>
            <w:webHidden/>
          </w:rPr>
          <w:fldChar w:fldCharType="separate"/>
        </w:r>
        <w:r w:rsidR="0013257C">
          <w:rPr>
            <w:noProof/>
            <w:webHidden/>
          </w:rPr>
          <w:t>10</w:t>
        </w:r>
        <w:r w:rsidR="008A582C">
          <w:rPr>
            <w:noProof/>
            <w:webHidden/>
          </w:rPr>
          <w:fldChar w:fldCharType="end"/>
        </w:r>
      </w:hyperlink>
    </w:p>
    <w:p w14:paraId="33DE4567" w14:textId="7463520C" w:rsidR="008A582C" w:rsidRDefault="00E84B5A">
      <w:pPr>
        <w:pStyle w:val="TOC1"/>
        <w:rPr>
          <w:rFonts w:asciiTheme="minorHAnsi" w:eastAsiaTheme="minorEastAsia" w:hAnsiTheme="minorHAnsi" w:cstheme="minorBidi"/>
          <w:b w:val="0"/>
          <w:bCs w:val="0"/>
          <w:kern w:val="2"/>
          <w:lang w:eastAsia="en-GB"/>
          <w14:ligatures w14:val="standardContextual"/>
        </w:rPr>
      </w:pPr>
      <w:hyperlink w:anchor="_Toc160544113" w:history="1">
        <w:r w:rsidR="008A582C" w:rsidRPr="006A053E">
          <w:rPr>
            <w:rStyle w:val="Hyperlink"/>
          </w:rPr>
          <w:t>7</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Consent</w:t>
        </w:r>
        <w:r w:rsidR="008A582C">
          <w:rPr>
            <w:webHidden/>
          </w:rPr>
          <w:tab/>
        </w:r>
        <w:r w:rsidR="008A582C">
          <w:rPr>
            <w:webHidden/>
          </w:rPr>
          <w:fldChar w:fldCharType="begin"/>
        </w:r>
        <w:r w:rsidR="008A582C">
          <w:rPr>
            <w:webHidden/>
          </w:rPr>
          <w:instrText xml:space="preserve"> PAGEREF _Toc160544113 \h </w:instrText>
        </w:r>
        <w:r w:rsidR="008A582C">
          <w:rPr>
            <w:webHidden/>
          </w:rPr>
        </w:r>
        <w:r w:rsidR="008A582C">
          <w:rPr>
            <w:webHidden/>
          </w:rPr>
          <w:fldChar w:fldCharType="separate"/>
        </w:r>
        <w:r w:rsidR="0013257C">
          <w:rPr>
            <w:webHidden/>
          </w:rPr>
          <w:t>10</w:t>
        </w:r>
        <w:r w:rsidR="008A582C">
          <w:rPr>
            <w:webHidden/>
          </w:rPr>
          <w:fldChar w:fldCharType="end"/>
        </w:r>
      </w:hyperlink>
    </w:p>
    <w:p w14:paraId="711953BC" w14:textId="72E8F772"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14" w:history="1">
        <w:r w:rsidR="008A582C" w:rsidRPr="006A053E">
          <w:rPr>
            <w:rStyle w:val="Hyperlink"/>
            <w:noProof/>
          </w:rPr>
          <w:t>7.1</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Obtaining consent</w:t>
        </w:r>
        <w:r w:rsidR="008A582C">
          <w:rPr>
            <w:noProof/>
            <w:webHidden/>
          </w:rPr>
          <w:tab/>
        </w:r>
        <w:r w:rsidR="008A582C">
          <w:rPr>
            <w:noProof/>
            <w:webHidden/>
          </w:rPr>
          <w:fldChar w:fldCharType="begin"/>
        </w:r>
        <w:r w:rsidR="008A582C">
          <w:rPr>
            <w:noProof/>
            <w:webHidden/>
          </w:rPr>
          <w:instrText xml:space="preserve"> PAGEREF _Toc160544114 \h </w:instrText>
        </w:r>
        <w:r w:rsidR="008A582C">
          <w:rPr>
            <w:noProof/>
            <w:webHidden/>
          </w:rPr>
        </w:r>
        <w:r w:rsidR="008A582C">
          <w:rPr>
            <w:noProof/>
            <w:webHidden/>
          </w:rPr>
          <w:fldChar w:fldCharType="separate"/>
        </w:r>
        <w:r w:rsidR="0013257C">
          <w:rPr>
            <w:noProof/>
            <w:webHidden/>
          </w:rPr>
          <w:t>10</w:t>
        </w:r>
        <w:r w:rsidR="008A582C">
          <w:rPr>
            <w:noProof/>
            <w:webHidden/>
          </w:rPr>
          <w:fldChar w:fldCharType="end"/>
        </w:r>
      </w:hyperlink>
    </w:p>
    <w:p w14:paraId="73AE52E6" w14:textId="75D4C938"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15" w:history="1">
        <w:r w:rsidR="008A582C" w:rsidRPr="006A053E">
          <w:rPr>
            <w:rStyle w:val="Hyperlink"/>
            <w:noProof/>
          </w:rPr>
          <w:t>7.2</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Parental consent</w:t>
        </w:r>
        <w:r w:rsidR="008A582C">
          <w:rPr>
            <w:noProof/>
            <w:webHidden/>
          </w:rPr>
          <w:tab/>
        </w:r>
        <w:r w:rsidR="008A582C">
          <w:rPr>
            <w:noProof/>
            <w:webHidden/>
          </w:rPr>
          <w:fldChar w:fldCharType="begin"/>
        </w:r>
        <w:r w:rsidR="008A582C">
          <w:rPr>
            <w:noProof/>
            <w:webHidden/>
          </w:rPr>
          <w:instrText xml:space="preserve"> PAGEREF _Toc160544115 \h </w:instrText>
        </w:r>
        <w:r w:rsidR="008A582C">
          <w:rPr>
            <w:noProof/>
            <w:webHidden/>
          </w:rPr>
        </w:r>
        <w:r w:rsidR="008A582C">
          <w:rPr>
            <w:noProof/>
            <w:webHidden/>
          </w:rPr>
          <w:fldChar w:fldCharType="separate"/>
        </w:r>
        <w:r w:rsidR="0013257C">
          <w:rPr>
            <w:noProof/>
            <w:webHidden/>
          </w:rPr>
          <w:t>11</w:t>
        </w:r>
        <w:r w:rsidR="008A582C">
          <w:rPr>
            <w:noProof/>
            <w:webHidden/>
          </w:rPr>
          <w:fldChar w:fldCharType="end"/>
        </w:r>
      </w:hyperlink>
    </w:p>
    <w:p w14:paraId="01AF2849" w14:textId="37555308" w:rsidR="008A582C" w:rsidRDefault="00E84B5A">
      <w:pPr>
        <w:pStyle w:val="TOC1"/>
        <w:rPr>
          <w:rFonts w:asciiTheme="minorHAnsi" w:eastAsiaTheme="minorEastAsia" w:hAnsiTheme="minorHAnsi" w:cstheme="minorBidi"/>
          <w:b w:val="0"/>
          <w:bCs w:val="0"/>
          <w:kern w:val="2"/>
          <w:lang w:eastAsia="en-GB"/>
          <w14:ligatures w14:val="standardContextual"/>
        </w:rPr>
      </w:pPr>
      <w:hyperlink w:anchor="_Toc160544116" w:history="1">
        <w:r w:rsidR="008A582C" w:rsidRPr="006A053E">
          <w:rPr>
            <w:rStyle w:val="Hyperlink"/>
          </w:rPr>
          <w:t>8</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Data mapping and Data Protection Impact Assessments</w:t>
        </w:r>
        <w:r w:rsidR="008A582C">
          <w:rPr>
            <w:webHidden/>
          </w:rPr>
          <w:tab/>
        </w:r>
        <w:r w:rsidR="008A582C">
          <w:rPr>
            <w:webHidden/>
          </w:rPr>
          <w:fldChar w:fldCharType="begin"/>
        </w:r>
        <w:r w:rsidR="008A582C">
          <w:rPr>
            <w:webHidden/>
          </w:rPr>
          <w:instrText xml:space="preserve"> PAGEREF _Toc160544116 \h </w:instrText>
        </w:r>
        <w:r w:rsidR="008A582C">
          <w:rPr>
            <w:webHidden/>
          </w:rPr>
        </w:r>
        <w:r w:rsidR="008A582C">
          <w:rPr>
            <w:webHidden/>
          </w:rPr>
          <w:fldChar w:fldCharType="separate"/>
        </w:r>
        <w:r w:rsidR="0013257C">
          <w:rPr>
            <w:webHidden/>
          </w:rPr>
          <w:t>11</w:t>
        </w:r>
        <w:r w:rsidR="008A582C">
          <w:rPr>
            <w:webHidden/>
          </w:rPr>
          <w:fldChar w:fldCharType="end"/>
        </w:r>
      </w:hyperlink>
    </w:p>
    <w:p w14:paraId="37A92D32" w14:textId="6BED3246"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17" w:history="1">
        <w:r w:rsidR="008A582C" w:rsidRPr="006A053E">
          <w:rPr>
            <w:rStyle w:val="Hyperlink"/>
            <w:noProof/>
          </w:rPr>
          <w:t>8.1</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Data mapping</w:t>
        </w:r>
        <w:r w:rsidR="008A582C">
          <w:rPr>
            <w:noProof/>
            <w:webHidden/>
          </w:rPr>
          <w:tab/>
        </w:r>
        <w:r w:rsidR="008A582C">
          <w:rPr>
            <w:noProof/>
            <w:webHidden/>
          </w:rPr>
          <w:fldChar w:fldCharType="begin"/>
        </w:r>
        <w:r w:rsidR="008A582C">
          <w:rPr>
            <w:noProof/>
            <w:webHidden/>
          </w:rPr>
          <w:instrText xml:space="preserve"> PAGEREF _Toc160544117 \h </w:instrText>
        </w:r>
        <w:r w:rsidR="008A582C">
          <w:rPr>
            <w:noProof/>
            <w:webHidden/>
          </w:rPr>
        </w:r>
        <w:r w:rsidR="008A582C">
          <w:rPr>
            <w:noProof/>
            <w:webHidden/>
          </w:rPr>
          <w:fldChar w:fldCharType="separate"/>
        </w:r>
        <w:r w:rsidR="0013257C">
          <w:rPr>
            <w:noProof/>
            <w:webHidden/>
          </w:rPr>
          <w:t>11</w:t>
        </w:r>
        <w:r w:rsidR="008A582C">
          <w:rPr>
            <w:noProof/>
            <w:webHidden/>
          </w:rPr>
          <w:fldChar w:fldCharType="end"/>
        </w:r>
      </w:hyperlink>
    </w:p>
    <w:p w14:paraId="7037A53D" w14:textId="15444481"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18" w:history="1">
        <w:r w:rsidR="008A582C" w:rsidRPr="006A053E">
          <w:rPr>
            <w:rStyle w:val="Hyperlink"/>
            <w:noProof/>
          </w:rPr>
          <w:t>8.2</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Data mapping and the Data Protection Impact Assessment</w:t>
        </w:r>
        <w:r w:rsidR="008A582C">
          <w:rPr>
            <w:noProof/>
            <w:webHidden/>
          </w:rPr>
          <w:tab/>
        </w:r>
        <w:r w:rsidR="008A582C">
          <w:rPr>
            <w:noProof/>
            <w:webHidden/>
          </w:rPr>
          <w:fldChar w:fldCharType="begin"/>
        </w:r>
        <w:r w:rsidR="008A582C">
          <w:rPr>
            <w:noProof/>
            <w:webHidden/>
          </w:rPr>
          <w:instrText xml:space="preserve"> PAGEREF _Toc160544118 \h </w:instrText>
        </w:r>
        <w:r w:rsidR="008A582C">
          <w:rPr>
            <w:noProof/>
            <w:webHidden/>
          </w:rPr>
        </w:r>
        <w:r w:rsidR="008A582C">
          <w:rPr>
            <w:noProof/>
            <w:webHidden/>
          </w:rPr>
          <w:fldChar w:fldCharType="separate"/>
        </w:r>
        <w:r w:rsidR="0013257C">
          <w:rPr>
            <w:noProof/>
            <w:webHidden/>
          </w:rPr>
          <w:t>11</w:t>
        </w:r>
        <w:r w:rsidR="008A582C">
          <w:rPr>
            <w:noProof/>
            <w:webHidden/>
          </w:rPr>
          <w:fldChar w:fldCharType="end"/>
        </w:r>
      </w:hyperlink>
    </w:p>
    <w:p w14:paraId="21CB1058" w14:textId="346ED0A3"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19" w:history="1">
        <w:r w:rsidR="008A582C" w:rsidRPr="006A053E">
          <w:rPr>
            <w:rStyle w:val="Hyperlink"/>
            <w:noProof/>
          </w:rPr>
          <w:t>8.3</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Data Protection Impact Assessment</w:t>
        </w:r>
        <w:r w:rsidR="008A582C">
          <w:rPr>
            <w:noProof/>
            <w:webHidden/>
          </w:rPr>
          <w:tab/>
        </w:r>
        <w:r w:rsidR="008A582C">
          <w:rPr>
            <w:noProof/>
            <w:webHidden/>
          </w:rPr>
          <w:fldChar w:fldCharType="begin"/>
        </w:r>
        <w:r w:rsidR="008A582C">
          <w:rPr>
            <w:noProof/>
            <w:webHidden/>
          </w:rPr>
          <w:instrText xml:space="preserve"> PAGEREF _Toc160544119 \h </w:instrText>
        </w:r>
        <w:r w:rsidR="008A582C">
          <w:rPr>
            <w:noProof/>
            <w:webHidden/>
          </w:rPr>
        </w:r>
        <w:r w:rsidR="008A582C">
          <w:rPr>
            <w:noProof/>
            <w:webHidden/>
          </w:rPr>
          <w:fldChar w:fldCharType="separate"/>
        </w:r>
        <w:r w:rsidR="0013257C">
          <w:rPr>
            <w:noProof/>
            <w:webHidden/>
          </w:rPr>
          <w:t>11</w:t>
        </w:r>
        <w:r w:rsidR="008A582C">
          <w:rPr>
            <w:noProof/>
            <w:webHidden/>
          </w:rPr>
          <w:fldChar w:fldCharType="end"/>
        </w:r>
      </w:hyperlink>
    </w:p>
    <w:p w14:paraId="063ECB20" w14:textId="3C832962"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20" w:history="1">
        <w:r w:rsidR="008A582C" w:rsidRPr="006A053E">
          <w:rPr>
            <w:rStyle w:val="Hyperlink"/>
            <w:noProof/>
          </w:rPr>
          <w:t>8.4</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Data Protection Impact Assessment process</w:t>
        </w:r>
        <w:r w:rsidR="008A582C">
          <w:rPr>
            <w:noProof/>
            <w:webHidden/>
          </w:rPr>
          <w:tab/>
        </w:r>
        <w:r w:rsidR="008A582C">
          <w:rPr>
            <w:noProof/>
            <w:webHidden/>
          </w:rPr>
          <w:fldChar w:fldCharType="begin"/>
        </w:r>
        <w:r w:rsidR="008A582C">
          <w:rPr>
            <w:noProof/>
            <w:webHidden/>
          </w:rPr>
          <w:instrText xml:space="preserve"> PAGEREF _Toc160544120 \h </w:instrText>
        </w:r>
        <w:r w:rsidR="008A582C">
          <w:rPr>
            <w:noProof/>
            <w:webHidden/>
          </w:rPr>
        </w:r>
        <w:r w:rsidR="008A582C">
          <w:rPr>
            <w:noProof/>
            <w:webHidden/>
          </w:rPr>
          <w:fldChar w:fldCharType="separate"/>
        </w:r>
        <w:r w:rsidR="0013257C">
          <w:rPr>
            <w:noProof/>
            <w:webHidden/>
          </w:rPr>
          <w:t>12</w:t>
        </w:r>
        <w:r w:rsidR="008A582C">
          <w:rPr>
            <w:noProof/>
            <w:webHidden/>
          </w:rPr>
          <w:fldChar w:fldCharType="end"/>
        </w:r>
      </w:hyperlink>
    </w:p>
    <w:p w14:paraId="32034538" w14:textId="0E9F89C9" w:rsidR="008A582C" w:rsidRDefault="00E84B5A">
      <w:pPr>
        <w:pStyle w:val="TOC2"/>
        <w:rPr>
          <w:rFonts w:asciiTheme="minorHAnsi" w:hAnsiTheme="minorHAnsi" w:cstheme="minorBidi"/>
          <w:b w:val="0"/>
          <w:bCs w:val="0"/>
          <w:noProof/>
          <w:kern w:val="2"/>
          <w:sz w:val="24"/>
          <w:szCs w:val="24"/>
          <w:lang w:eastAsia="en-GB"/>
          <w14:ligatures w14:val="standardContextual"/>
        </w:rPr>
      </w:pPr>
      <w:hyperlink w:anchor="_Toc160544121" w:history="1">
        <w:r w:rsidR="008A582C" w:rsidRPr="006A053E">
          <w:rPr>
            <w:rStyle w:val="Hyperlink"/>
            <w:noProof/>
          </w:rPr>
          <w:t>8.5</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Data Protection Impact Assessment template</w:t>
        </w:r>
        <w:r w:rsidR="008A582C">
          <w:rPr>
            <w:noProof/>
            <w:webHidden/>
          </w:rPr>
          <w:tab/>
        </w:r>
        <w:r w:rsidR="008A582C">
          <w:rPr>
            <w:noProof/>
            <w:webHidden/>
          </w:rPr>
          <w:fldChar w:fldCharType="begin"/>
        </w:r>
        <w:r w:rsidR="008A582C">
          <w:rPr>
            <w:noProof/>
            <w:webHidden/>
          </w:rPr>
          <w:instrText xml:space="preserve"> PAGEREF _Toc160544121 \h </w:instrText>
        </w:r>
        <w:r w:rsidR="008A582C">
          <w:rPr>
            <w:noProof/>
            <w:webHidden/>
          </w:rPr>
        </w:r>
        <w:r w:rsidR="008A582C">
          <w:rPr>
            <w:noProof/>
            <w:webHidden/>
          </w:rPr>
          <w:fldChar w:fldCharType="separate"/>
        </w:r>
        <w:r w:rsidR="0013257C">
          <w:rPr>
            <w:noProof/>
            <w:webHidden/>
          </w:rPr>
          <w:t>13</w:t>
        </w:r>
        <w:r w:rsidR="008A582C">
          <w:rPr>
            <w:noProof/>
            <w:webHidden/>
          </w:rPr>
          <w:fldChar w:fldCharType="end"/>
        </w:r>
      </w:hyperlink>
    </w:p>
    <w:p w14:paraId="428350D5" w14:textId="4EDBBE1D" w:rsidR="008A582C" w:rsidRDefault="00E84B5A">
      <w:pPr>
        <w:pStyle w:val="TOC1"/>
        <w:rPr>
          <w:rFonts w:asciiTheme="minorHAnsi" w:eastAsiaTheme="minorEastAsia" w:hAnsiTheme="minorHAnsi" w:cstheme="minorBidi"/>
          <w:b w:val="0"/>
          <w:bCs w:val="0"/>
          <w:kern w:val="2"/>
          <w:lang w:eastAsia="en-GB"/>
          <w14:ligatures w14:val="standardContextual"/>
        </w:rPr>
      </w:pPr>
      <w:hyperlink w:anchor="_Toc160544122" w:history="1">
        <w:r w:rsidR="008A582C" w:rsidRPr="006A053E">
          <w:rPr>
            <w:rStyle w:val="Hyperlink"/>
          </w:rPr>
          <w:t>9</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Information asset register</w:t>
        </w:r>
        <w:r w:rsidR="008A582C">
          <w:rPr>
            <w:webHidden/>
          </w:rPr>
          <w:tab/>
        </w:r>
        <w:r w:rsidR="008A582C">
          <w:rPr>
            <w:webHidden/>
          </w:rPr>
          <w:fldChar w:fldCharType="begin"/>
        </w:r>
        <w:r w:rsidR="008A582C">
          <w:rPr>
            <w:webHidden/>
          </w:rPr>
          <w:instrText xml:space="preserve"> PAGEREF _Toc160544122 \h </w:instrText>
        </w:r>
        <w:r w:rsidR="008A582C">
          <w:rPr>
            <w:webHidden/>
          </w:rPr>
        </w:r>
        <w:r w:rsidR="008A582C">
          <w:rPr>
            <w:webHidden/>
          </w:rPr>
          <w:fldChar w:fldCharType="separate"/>
        </w:r>
        <w:r w:rsidR="0013257C">
          <w:rPr>
            <w:webHidden/>
          </w:rPr>
          <w:t>13</w:t>
        </w:r>
        <w:r w:rsidR="008A582C">
          <w:rPr>
            <w:webHidden/>
          </w:rPr>
          <w:fldChar w:fldCharType="end"/>
        </w:r>
      </w:hyperlink>
    </w:p>
    <w:p w14:paraId="42C0CCE7" w14:textId="51B0F50D" w:rsidR="008A582C" w:rsidRDefault="00E84B5A">
      <w:pPr>
        <w:pStyle w:val="TOC1"/>
        <w:rPr>
          <w:rFonts w:asciiTheme="minorHAnsi" w:eastAsiaTheme="minorEastAsia" w:hAnsiTheme="minorHAnsi" w:cstheme="minorBidi"/>
          <w:b w:val="0"/>
          <w:bCs w:val="0"/>
          <w:kern w:val="2"/>
          <w:lang w:eastAsia="en-GB"/>
          <w14:ligatures w14:val="standardContextual"/>
        </w:rPr>
      </w:pPr>
      <w:hyperlink w:anchor="_Toc160544123" w:history="1">
        <w:r w:rsidR="008A582C" w:rsidRPr="006A053E">
          <w:rPr>
            <w:rStyle w:val="Hyperlink"/>
          </w:rPr>
          <w:t>Annex A – UK GDPR checklist</w:t>
        </w:r>
        <w:r w:rsidR="008A582C">
          <w:rPr>
            <w:webHidden/>
          </w:rPr>
          <w:tab/>
        </w:r>
        <w:r w:rsidR="008A582C">
          <w:rPr>
            <w:webHidden/>
          </w:rPr>
          <w:fldChar w:fldCharType="begin"/>
        </w:r>
        <w:r w:rsidR="008A582C">
          <w:rPr>
            <w:webHidden/>
          </w:rPr>
          <w:instrText xml:space="preserve"> PAGEREF _Toc160544123 \h </w:instrText>
        </w:r>
        <w:r w:rsidR="008A582C">
          <w:rPr>
            <w:webHidden/>
          </w:rPr>
        </w:r>
        <w:r w:rsidR="008A582C">
          <w:rPr>
            <w:webHidden/>
          </w:rPr>
          <w:fldChar w:fldCharType="separate"/>
        </w:r>
        <w:r w:rsidR="0013257C">
          <w:rPr>
            <w:webHidden/>
          </w:rPr>
          <w:t>14</w:t>
        </w:r>
        <w:r w:rsidR="008A582C">
          <w:rPr>
            <w:webHidden/>
          </w:rPr>
          <w:fldChar w:fldCharType="end"/>
        </w:r>
      </w:hyperlink>
    </w:p>
    <w:p w14:paraId="319E469B" w14:textId="7981855E" w:rsidR="00D85E4D" w:rsidRPr="00BD305E" w:rsidRDefault="00D85E4D" w:rsidP="002957F7">
      <w:pPr>
        <w:pStyle w:val="TOC1"/>
        <w:rPr>
          <w:noProof w:val="0"/>
        </w:rPr>
      </w:pPr>
      <w:r w:rsidRPr="00BD305E">
        <w:rPr>
          <w:noProof w:val="0"/>
        </w:rPr>
        <w:fldChar w:fldCharType="end"/>
      </w:r>
    </w:p>
    <w:p w14:paraId="22C44A64" w14:textId="77777777" w:rsidR="00680162" w:rsidRPr="00BD305E" w:rsidRDefault="00680162" w:rsidP="00680162">
      <w:pPr>
        <w:rPr>
          <w:lang w:eastAsia="en-US"/>
        </w:rPr>
      </w:pPr>
    </w:p>
    <w:p w14:paraId="5F669373" w14:textId="77777777" w:rsidR="00680162" w:rsidRPr="00BD305E" w:rsidRDefault="00680162" w:rsidP="00680162">
      <w:pPr>
        <w:rPr>
          <w:lang w:eastAsia="en-US"/>
        </w:rPr>
      </w:pPr>
    </w:p>
    <w:p w14:paraId="7D339AA9" w14:textId="77777777" w:rsidR="00680162" w:rsidRPr="00BD305E" w:rsidRDefault="00680162" w:rsidP="00680162">
      <w:pPr>
        <w:rPr>
          <w:lang w:eastAsia="en-US"/>
        </w:rPr>
      </w:pPr>
    </w:p>
    <w:p w14:paraId="3FC13736" w14:textId="77777777" w:rsidR="00680162" w:rsidRPr="00BD305E" w:rsidRDefault="00680162" w:rsidP="00680162">
      <w:pPr>
        <w:rPr>
          <w:lang w:eastAsia="en-US"/>
        </w:rPr>
      </w:pPr>
    </w:p>
    <w:p w14:paraId="726FE928" w14:textId="77777777" w:rsidR="00680162" w:rsidRPr="00BD305E" w:rsidRDefault="00680162" w:rsidP="00680162">
      <w:pPr>
        <w:rPr>
          <w:lang w:eastAsia="en-US"/>
        </w:rPr>
      </w:pPr>
    </w:p>
    <w:p w14:paraId="4A509BDE" w14:textId="77777777" w:rsidR="00680162" w:rsidRPr="00BD305E" w:rsidRDefault="00680162" w:rsidP="00680162">
      <w:pPr>
        <w:rPr>
          <w:lang w:eastAsia="en-US"/>
        </w:rPr>
      </w:pPr>
    </w:p>
    <w:p w14:paraId="117862B3" w14:textId="77777777" w:rsidR="00680162" w:rsidRPr="00BD305E" w:rsidRDefault="00680162" w:rsidP="00680162">
      <w:pPr>
        <w:rPr>
          <w:lang w:eastAsia="en-US"/>
        </w:rPr>
      </w:pPr>
    </w:p>
    <w:p w14:paraId="526F38B4" w14:textId="77777777" w:rsidR="00680162" w:rsidRPr="00BD305E" w:rsidRDefault="00680162" w:rsidP="00680162">
      <w:pPr>
        <w:rPr>
          <w:lang w:eastAsia="en-US"/>
        </w:rPr>
      </w:pPr>
    </w:p>
    <w:p w14:paraId="0FDF3CC4" w14:textId="77777777" w:rsidR="00680162" w:rsidRPr="00BD305E" w:rsidRDefault="00680162" w:rsidP="00680162">
      <w:pPr>
        <w:rPr>
          <w:lang w:eastAsia="en-US"/>
        </w:rPr>
      </w:pPr>
    </w:p>
    <w:p w14:paraId="022AE9D9" w14:textId="77777777" w:rsidR="00680162" w:rsidRPr="00BD305E" w:rsidRDefault="00680162" w:rsidP="00680162">
      <w:pPr>
        <w:rPr>
          <w:lang w:eastAsia="en-US"/>
        </w:rPr>
      </w:pPr>
    </w:p>
    <w:p w14:paraId="4359D79D" w14:textId="77777777" w:rsidR="00680162" w:rsidRPr="00BD305E" w:rsidRDefault="00680162" w:rsidP="00680162">
      <w:pPr>
        <w:rPr>
          <w:lang w:eastAsia="en-US"/>
        </w:rPr>
      </w:pPr>
    </w:p>
    <w:p w14:paraId="68B17B33" w14:textId="77777777" w:rsidR="00680162" w:rsidRPr="00BD305E" w:rsidRDefault="00680162" w:rsidP="00680162">
      <w:pPr>
        <w:rPr>
          <w:lang w:eastAsia="en-US"/>
        </w:rPr>
      </w:pPr>
    </w:p>
    <w:p w14:paraId="7BD04A36" w14:textId="77777777" w:rsidR="00680162" w:rsidRPr="00BD305E" w:rsidRDefault="00680162" w:rsidP="00680162">
      <w:pPr>
        <w:rPr>
          <w:lang w:eastAsia="en-US"/>
        </w:rPr>
      </w:pPr>
    </w:p>
    <w:p w14:paraId="00BBEF09" w14:textId="77777777" w:rsidR="00680162" w:rsidRPr="00BD305E" w:rsidRDefault="00680162" w:rsidP="00680162">
      <w:pPr>
        <w:rPr>
          <w:lang w:eastAsia="en-US"/>
        </w:rPr>
      </w:pPr>
    </w:p>
    <w:p w14:paraId="44CDD1A9" w14:textId="77777777" w:rsidR="00680162" w:rsidRPr="00BD305E" w:rsidRDefault="00680162" w:rsidP="00680162">
      <w:pPr>
        <w:rPr>
          <w:lang w:eastAsia="en-US"/>
        </w:rPr>
      </w:pPr>
    </w:p>
    <w:p w14:paraId="26F10C60" w14:textId="77777777" w:rsidR="00680162" w:rsidRPr="00BD305E" w:rsidRDefault="00680162" w:rsidP="00680162">
      <w:pPr>
        <w:rPr>
          <w:lang w:eastAsia="en-US"/>
        </w:rPr>
      </w:pPr>
    </w:p>
    <w:p w14:paraId="087484DD" w14:textId="77777777" w:rsidR="00680162" w:rsidRPr="00BD305E" w:rsidRDefault="00680162" w:rsidP="00680162">
      <w:pPr>
        <w:rPr>
          <w:lang w:eastAsia="en-US"/>
        </w:rPr>
      </w:pPr>
    </w:p>
    <w:p w14:paraId="7919B86C" w14:textId="77777777" w:rsidR="00680162" w:rsidRPr="00BD305E" w:rsidRDefault="00680162" w:rsidP="00680162">
      <w:pPr>
        <w:rPr>
          <w:lang w:eastAsia="en-US"/>
        </w:rPr>
      </w:pPr>
    </w:p>
    <w:p w14:paraId="6AC4F288" w14:textId="77777777" w:rsidR="00680162" w:rsidRPr="00BD305E" w:rsidRDefault="00680162" w:rsidP="00680162">
      <w:pPr>
        <w:rPr>
          <w:lang w:eastAsia="en-US"/>
        </w:rPr>
      </w:pPr>
    </w:p>
    <w:p w14:paraId="20992972" w14:textId="77777777" w:rsidR="00680162" w:rsidRPr="00BD305E" w:rsidRDefault="00680162" w:rsidP="00680162">
      <w:pPr>
        <w:rPr>
          <w:lang w:eastAsia="en-US"/>
        </w:rPr>
      </w:pPr>
    </w:p>
    <w:p w14:paraId="2ED7AC65" w14:textId="77777777" w:rsidR="00680162" w:rsidRPr="00BD305E" w:rsidRDefault="00680162" w:rsidP="00680162">
      <w:pPr>
        <w:rPr>
          <w:lang w:eastAsia="en-US"/>
        </w:rPr>
      </w:pPr>
    </w:p>
    <w:p w14:paraId="22FD5817" w14:textId="77777777" w:rsidR="00680162" w:rsidRPr="00BD305E" w:rsidRDefault="00680162" w:rsidP="00680162">
      <w:pPr>
        <w:rPr>
          <w:lang w:eastAsia="en-US"/>
        </w:rPr>
      </w:pPr>
    </w:p>
    <w:p w14:paraId="3B286C97" w14:textId="77777777" w:rsidR="00680162" w:rsidRPr="00BD305E" w:rsidRDefault="00680162" w:rsidP="00680162">
      <w:pPr>
        <w:rPr>
          <w:lang w:eastAsia="en-US"/>
        </w:rPr>
      </w:pPr>
    </w:p>
    <w:p w14:paraId="7C1F4396" w14:textId="5FC4C65A" w:rsidR="000858D5" w:rsidRPr="00BD305E"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43131887"/>
      <w:bookmarkStart w:id="1" w:name="_Toc160544082"/>
      <w:r w:rsidRPr="00BD305E">
        <w:rPr>
          <w:sz w:val="28"/>
          <w:szCs w:val="28"/>
        </w:rPr>
        <w:t>Introduction</w:t>
      </w:r>
      <w:bookmarkEnd w:id="0"/>
      <w:bookmarkEnd w:id="1"/>
    </w:p>
    <w:p w14:paraId="4C3C3D66" w14:textId="2AA74A09" w:rsidR="00044905" w:rsidRPr="00BD305E" w:rsidRDefault="00D05574" w:rsidP="00044905">
      <w:pPr>
        <w:pStyle w:val="Heading2"/>
        <w:rPr>
          <w:rFonts w:ascii="Arial" w:hAnsi="Arial" w:cs="Arial"/>
          <w:smallCaps w:val="0"/>
          <w:sz w:val="24"/>
          <w:szCs w:val="24"/>
          <w:lang w:val="en-GB"/>
        </w:rPr>
      </w:pPr>
      <w:bookmarkStart w:id="2" w:name="_Toc495852825"/>
      <w:bookmarkStart w:id="3" w:name="_Toc43131888"/>
      <w:bookmarkStart w:id="4" w:name="_Toc160544083"/>
      <w:r w:rsidRPr="00BD305E">
        <w:rPr>
          <w:rFonts w:ascii="Arial" w:hAnsi="Arial" w:cs="Arial"/>
          <w:smallCaps w:val="0"/>
          <w:sz w:val="24"/>
          <w:szCs w:val="24"/>
          <w:lang w:val="en-GB"/>
        </w:rPr>
        <w:t>P</w:t>
      </w:r>
      <w:r w:rsidR="00044905" w:rsidRPr="00BD305E">
        <w:rPr>
          <w:rFonts w:ascii="Arial" w:hAnsi="Arial" w:cs="Arial"/>
          <w:smallCaps w:val="0"/>
          <w:sz w:val="24"/>
          <w:szCs w:val="24"/>
          <w:lang w:val="en-GB"/>
        </w:rPr>
        <w:t>olicy statement</w:t>
      </w:r>
      <w:bookmarkEnd w:id="2"/>
      <w:bookmarkEnd w:id="3"/>
      <w:bookmarkEnd w:id="4"/>
    </w:p>
    <w:p w14:paraId="121F9C13" w14:textId="7435C555" w:rsidR="009E44EC" w:rsidRPr="00BD305E" w:rsidRDefault="009E44EC" w:rsidP="009E44EC"/>
    <w:p w14:paraId="44AD0EB6" w14:textId="3BEA2AF9" w:rsidR="00B35D79" w:rsidRDefault="00761798" w:rsidP="00C91E5D">
      <w:pPr>
        <w:tabs>
          <w:tab w:val="left" w:pos="7797"/>
        </w:tabs>
        <w:rPr>
          <w:rFonts w:ascii="Arial" w:hAnsi="Arial" w:cs="Arial"/>
          <w:sz w:val="22"/>
          <w:szCs w:val="22"/>
        </w:rPr>
      </w:pPr>
      <w:r w:rsidRPr="00BD305E">
        <w:rPr>
          <w:rFonts w:ascii="Arial" w:hAnsi="Arial" w:cs="Arial"/>
          <w:sz w:val="22"/>
          <w:szCs w:val="22"/>
        </w:rPr>
        <w:t xml:space="preserve">The </w:t>
      </w:r>
      <w:r w:rsidR="002B65D0" w:rsidRPr="00BD305E">
        <w:rPr>
          <w:rFonts w:ascii="Arial" w:hAnsi="Arial" w:cs="Arial"/>
          <w:sz w:val="22"/>
          <w:szCs w:val="22"/>
        </w:rPr>
        <w:t xml:space="preserve">UK </w:t>
      </w:r>
      <w:r w:rsidRPr="00BD305E">
        <w:rPr>
          <w:rFonts w:ascii="Arial" w:hAnsi="Arial" w:cs="Arial"/>
          <w:sz w:val="22"/>
          <w:szCs w:val="22"/>
        </w:rPr>
        <w:t>General Data Protection Regulation (</w:t>
      </w:r>
      <w:r w:rsidR="002B65D0" w:rsidRPr="00BD305E">
        <w:rPr>
          <w:rFonts w:ascii="Arial" w:hAnsi="Arial" w:cs="Arial"/>
          <w:sz w:val="22"/>
          <w:szCs w:val="22"/>
        </w:rPr>
        <w:t xml:space="preserve">UK </w:t>
      </w:r>
      <w:r w:rsidRPr="00BD305E">
        <w:rPr>
          <w:rFonts w:ascii="Arial" w:hAnsi="Arial" w:cs="Arial"/>
          <w:sz w:val="22"/>
          <w:szCs w:val="22"/>
        </w:rPr>
        <w:t xml:space="preserve">GDPR herein) </w:t>
      </w:r>
      <w:r w:rsidR="002B65D0" w:rsidRPr="00BD305E">
        <w:rPr>
          <w:rFonts w:ascii="Arial" w:hAnsi="Arial" w:cs="Arial"/>
          <w:sz w:val="22"/>
          <w:szCs w:val="22"/>
        </w:rPr>
        <w:t xml:space="preserve">is incorporated in the </w:t>
      </w:r>
      <w:hyperlink r:id="rId8" w:history="1">
        <w:r w:rsidR="002B65D0" w:rsidRPr="00BD305E">
          <w:rPr>
            <w:rStyle w:val="Hyperlink"/>
            <w:rFonts w:ascii="Arial" w:hAnsi="Arial" w:cs="Arial"/>
            <w:sz w:val="22"/>
            <w:szCs w:val="22"/>
          </w:rPr>
          <w:t>Data Protection Act 2018</w:t>
        </w:r>
      </w:hyperlink>
      <w:r w:rsidR="002B65D0" w:rsidRPr="00BD305E">
        <w:rPr>
          <w:rFonts w:ascii="Arial" w:hAnsi="Arial" w:cs="Arial"/>
          <w:sz w:val="22"/>
          <w:szCs w:val="22"/>
        </w:rPr>
        <w:t xml:space="preserve"> (DPA18) at </w:t>
      </w:r>
      <w:r w:rsidR="00B61C5C" w:rsidRPr="00BD305E">
        <w:rPr>
          <w:rFonts w:ascii="Arial" w:hAnsi="Arial" w:cs="Arial"/>
          <w:sz w:val="22"/>
          <w:szCs w:val="22"/>
        </w:rPr>
        <w:t>P</w:t>
      </w:r>
      <w:r w:rsidR="00DC2986" w:rsidRPr="00BD305E">
        <w:rPr>
          <w:rFonts w:ascii="Arial" w:hAnsi="Arial" w:cs="Arial"/>
          <w:sz w:val="22"/>
          <w:szCs w:val="22"/>
        </w:rPr>
        <w:t>art</w:t>
      </w:r>
      <w:r w:rsidR="002B65D0" w:rsidRPr="00BD305E">
        <w:rPr>
          <w:rFonts w:ascii="Arial" w:hAnsi="Arial" w:cs="Arial"/>
          <w:sz w:val="22"/>
          <w:szCs w:val="22"/>
        </w:rPr>
        <w:t xml:space="preserve"> 2</w:t>
      </w:r>
      <w:r w:rsidR="00B61C5C" w:rsidRPr="00BD305E">
        <w:rPr>
          <w:rFonts w:ascii="Arial" w:hAnsi="Arial" w:cs="Arial"/>
          <w:sz w:val="22"/>
          <w:szCs w:val="22"/>
        </w:rPr>
        <w:t xml:space="preserve">, </w:t>
      </w:r>
      <w:hyperlink r:id="rId9" w:history="1">
        <w:r w:rsidR="00B61C5C" w:rsidRPr="00BD305E">
          <w:rPr>
            <w:rStyle w:val="Hyperlink"/>
            <w:rFonts w:ascii="Arial" w:hAnsi="Arial" w:cs="Arial"/>
            <w:sz w:val="22"/>
            <w:szCs w:val="22"/>
          </w:rPr>
          <w:t>Chapter 2</w:t>
        </w:r>
      </w:hyperlink>
      <w:r w:rsidR="00B61C5C" w:rsidRPr="00BD305E">
        <w:rPr>
          <w:rFonts w:ascii="Arial" w:hAnsi="Arial" w:cs="Arial"/>
          <w:sz w:val="22"/>
          <w:szCs w:val="22"/>
        </w:rPr>
        <w:t xml:space="preserve"> and </w:t>
      </w:r>
      <w:r w:rsidR="00D32C03" w:rsidRPr="00BD305E">
        <w:rPr>
          <w:rFonts w:ascii="Arial" w:hAnsi="Arial" w:cs="Arial"/>
          <w:sz w:val="22"/>
          <w:szCs w:val="22"/>
        </w:rPr>
        <w:t xml:space="preserve">applies to all </w:t>
      </w:r>
      <w:r w:rsidR="002B65D0" w:rsidRPr="00BD305E">
        <w:rPr>
          <w:rFonts w:ascii="Arial" w:hAnsi="Arial" w:cs="Arial"/>
          <w:sz w:val="22"/>
          <w:szCs w:val="22"/>
        </w:rPr>
        <w:t>organisations in the UK</w:t>
      </w:r>
      <w:r w:rsidR="00D32C03" w:rsidRPr="00BD305E">
        <w:rPr>
          <w:rFonts w:ascii="Arial" w:hAnsi="Arial" w:cs="Arial"/>
          <w:sz w:val="22"/>
          <w:szCs w:val="22"/>
        </w:rPr>
        <w:t xml:space="preserve"> </w:t>
      </w:r>
      <w:r w:rsidR="002B65D0" w:rsidRPr="00BD305E">
        <w:rPr>
          <w:rFonts w:ascii="Arial" w:hAnsi="Arial" w:cs="Arial"/>
          <w:sz w:val="22"/>
          <w:szCs w:val="22"/>
        </w:rPr>
        <w:t>(with the exception of law enforcement and intelligence agencies</w:t>
      </w:r>
      <w:r w:rsidR="00AD5AA9" w:rsidRPr="00BD305E">
        <w:rPr>
          <w:rFonts w:ascii="Arial" w:hAnsi="Arial" w:cs="Arial"/>
          <w:sz w:val="22"/>
          <w:szCs w:val="22"/>
        </w:rPr>
        <w:t>)</w:t>
      </w:r>
      <w:r w:rsidR="00B61C5C" w:rsidRPr="00BD305E">
        <w:rPr>
          <w:rFonts w:ascii="Arial" w:hAnsi="Arial" w:cs="Arial"/>
          <w:sz w:val="22"/>
          <w:szCs w:val="22"/>
        </w:rPr>
        <w:t>.</w:t>
      </w:r>
      <w:r w:rsidR="002B65D0" w:rsidRPr="00BD305E">
        <w:rPr>
          <w:rFonts w:ascii="Arial" w:hAnsi="Arial" w:cs="Arial"/>
          <w:sz w:val="22"/>
          <w:szCs w:val="22"/>
        </w:rPr>
        <w:t xml:space="preserve"> </w:t>
      </w:r>
      <w:r w:rsidR="00E84B5A">
        <w:rPr>
          <w:rFonts w:ascii="Arial" w:hAnsi="Arial" w:cs="Arial"/>
          <w:sz w:val="22"/>
          <w:szCs w:val="22"/>
        </w:rPr>
        <w:t>St. Martins Medical Centre</w:t>
      </w:r>
      <w:r w:rsidR="00D32C03" w:rsidRPr="00BD305E">
        <w:rPr>
          <w:rFonts w:ascii="Arial" w:hAnsi="Arial" w:cs="Arial"/>
          <w:sz w:val="22"/>
          <w:szCs w:val="22"/>
        </w:rPr>
        <w:t xml:space="preserve"> must be able to demons</w:t>
      </w:r>
      <w:r w:rsidR="009132F2" w:rsidRPr="00BD305E">
        <w:rPr>
          <w:rFonts w:ascii="Arial" w:hAnsi="Arial" w:cs="Arial"/>
          <w:sz w:val="22"/>
          <w:szCs w:val="22"/>
        </w:rPr>
        <w:t xml:space="preserve">trate compliance at all times. </w:t>
      </w:r>
      <w:r w:rsidR="00D32C03" w:rsidRPr="00BD305E">
        <w:rPr>
          <w:rFonts w:ascii="Arial" w:hAnsi="Arial" w:cs="Arial"/>
          <w:sz w:val="22"/>
          <w:szCs w:val="22"/>
        </w:rPr>
        <w:t xml:space="preserve">Understanding the requirements of the </w:t>
      </w:r>
      <w:r w:rsidR="002B65D0" w:rsidRPr="00BD305E">
        <w:rPr>
          <w:rFonts w:ascii="Arial" w:hAnsi="Arial" w:cs="Arial"/>
          <w:sz w:val="22"/>
          <w:szCs w:val="22"/>
        </w:rPr>
        <w:t xml:space="preserve">UK </w:t>
      </w:r>
      <w:r w:rsidR="00D32C03" w:rsidRPr="00BD305E">
        <w:rPr>
          <w:rFonts w:ascii="Arial" w:hAnsi="Arial" w:cs="Arial"/>
          <w:sz w:val="22"/>
          <w:szCs w:val="22"/>
        </w:rPr>
        <w:t xml:space="preserve">GDPR will ensure </w:t>
      </w:r>
      <w:r w:rsidR="009132F2" w:rsidRPr="00BD305E">
        <w:rPr>
          <w:rFonts w:ascii="Arial" w:hAnsi="Arial" w:cs="Arial"/>
          <w:sz w:val="22"/>
          <w:szCs w:val="22"/>
        </w:rPr>
        <w:t xml:space="preserve">that </w:t>
      </w:r>
      <w:r w:rsidR="00B566D0" w:rsidRPr="00BD305E">
        <w:rPr>
          <w:rFonts w:ascii="Arial" w:hAnsi="Arial" w:cs="Arial"/>
          <w:sz w:val="22"/>
          <w:szCs w:val="22"/>
        </w:rPr>
        <w:t xml:space="preserve">the </w:t>
      </w:r>
      <w:r w:rsidR="00D32C03" w:rsidRPr="00BD305E">
        <w:rPr>
          <w:rFonts w:ascii="Arial" w:hAnsi="Arial" w:cs="Arial"/>
          <w:sz w:val="22"/>
          <w:szCs w:val="22"/>
        </w:rPr>
        <w:t>personal data of both staff and patients is protected accordingly.</w:t>
      </w:r>
    </w:p>
    <w:p w14:paraId="05DFB91B" w14:textId="77777777" w:rsidR="008A582C" w:rsidRDefault="008A582C" w:rsidP="00C91E5D">
      <w:pPr>
        <w:tabs>
          <w:tab w:val="left" w:pos="7797"/>
        </w:tabs>
        <w:rPr>
          <w:rFonts w:ascii="Arial" w:hAnsi="Arial" w:cs="Arial"/>
          <w:sz w:val="22"/>
          <w:szCs w:val="22"/>
        </w:rPr>
      </w:pPr>
    </w:p>
    <w:p w14:paraId="67C961CD" w14:textId="5C98D508" w:rsidR="008A582C" w:rsidRPr="00BD305E" w:rsidRDefault="008A582C" w:rsidP="00C91E5D">
      <w:pPr>
        <w:tabs>
          <w:tab w:val="left" w:pos="7797"/>
        </w:tabs>
        <w:rPr>
          <w:rFonts w:ascii="Arial" w:hAnsi="Arial" w:cs="Arial"/>
          <w:sz w:val="22"/>
          <w:szCs w:val="22"/>
        </w:rPr>
      </w:pPr>
      <w:r>
        <w:rPr>
          <w:rFonts w:ascii="Arial" w:hAnsi="Arial" w:cs="Arial"/>
          <w:sz w:val="22"/>
          <w:szCs w:val="22"/>
        </w:rPr>
        <w:t xml:space="preserve">To help </w:t>
      </w:r>
      <w:r w:rsidR="0093273C">
        <w:rPr>
          <w:rFonts w:ascii="Arial" w:hAnsi="Arial" w:cs="Arial"/>
          <w:sz w:val="22"/>
          <w:szCs w:val="22"/>
        </w:rPr>
        <w:t xml:space="preserve">to </w:t>
      </w:r>
      <w:r>
        <w:rPr>
          <w:rFonts w:ascii="Arial" w:hAnsi="Arial" w:cs="Arial"/>
          <w:sz w:val="22"/>
          <w:szCs w:val="22"/>
        </w:rPr>
        <w:t xml:space="preserve">maintain compliance with the UK GDPR a checklist is available at </w:t>
      </w:r>
      <w:hyperlink w:anchor="_Annex_A_–" w:history="1">
        <w:r w:rsidRPr="008A582C">
          <w:rPr>
            <w:rStyle w:val="Hyperlink"/>
            <w:rFonts w:ascii="Arial" w:hAnsi="Arial" w:cs="Arial"/>
            <w:sz w:val="22"/>
            <w:szCs w:val="22"/>
          </w:rPr>
          <w:t>Annex A</w:t>
        </w:r>
      </w:hyperlink>
      <w:r>
        <w:rPr>
          <w:rFonts w:ascii="Arial" w:hAnsi="Arial" w:cs="Arial"/>
          <w:sz w:val="22"/>
          <w:szCs w:val="22"/>
        </w:rPr>
        <w:t xml:space="preserve">. </w:t>
      </w:r>
    </w:p>
    <w:p w14:paraId="030917FC" w14:textId="6F4CABCF" w:rsidR="00044905" w:rsidRPr="00BD305E" w:rsidRDefault="00965FEA" w:rsidP="00044905">
      <w:pPr>
        <w:pStyle w:val="Heading2"/>
        <w:rPr>
          <w:rFonts w:ascii="Arial" w:hAnsi="Arial" w:cs="Arial"/>
          <w:smallCaps w:val="0"/>
          <w:sz w:val="24"/>
          <w:szCs w:val="24"/>
          <w:lang w:val="en-GB"/>
        </w:rPr>
      </w:pPr>
      <w:bookmarkStart w:id="5" w:name="_Toc495852828"/>
      <w:bookmarkStart w:id="6" w:name="_Toc43131889"/>
      <w:bookmarkStart w:id="7" w:name="_Toc160544084"/>
      <w:r w:rsidRPr="00BD305E">
        <w:rPr>
          <w:rFonts w:ascii="Arial" w:hAnsi="Arial" w:cs="Arial"/>
          <w:smallCaps w:val="0"/>
          <w:sz w:val="24"/>
          <w:szCs w:val="24"/>
          <w:lang w:val="en-GB"/>
        </w:rPr>
        <w:t>S</w:t>
      </w:r>
      <w:r w:rsidR="00044905" w:rsidRPr="00BD305E">
        <w:rPr>
          <w:rFonts w:ascii="Arial" w:hAnsi="Arial" w:cs="Arial"/>
          <w:smallCaps w:val="0"/>
          <w:sz w:val="24"/>
          <w:szCs w:val="24"/>
          <w:lang w:val="en-GB"/>
        </w:rPr>
        <w:t>tatus</w:t>
      </w:r>
      <w:bookmarkEnd w:id="5"/>
      <w:bookmarkEnd w:id="6"/>
      <w:bookmarkEnd w:id="7"/>
    </w:p>
    <w:p w14:paraId="11B39A9B" w14:textId="77777777" w:rsidR="00807595" w:rsidRPr="00BD305E" w:rsidRDefault="00807595" w:rsidP="00044905">
      <w:pPr>
        <w:rPr>
          <w:rFonts w:cstheme="minorHAnsi"/>
        </w:rPr>
      </w:pPr>
    </w:p>
    <w:p w14:paraId="13A6D126" w14:textId="733E3882" w:rsidR="00BD305E" w:rsidRPr="00FB34C8" w:rsidRDefault="00BD305E" w:rsidP="00BD305E">
      <w:pPr>
        <w:rPr>
          <w:rFonts w:ascii="Arial" w:hAnsi="Arial" w:cs="Arial"/>
          <w:sz w:val="22"/>
          <w:szCs w:val="22"/>
        </w:rPr>
      </w:pPr>
      <w:bookmarkStart w:id="8" w:name="_Toc43131827"/>
      <w:bookmarkStart w:id="9" w:name="_Toc43131890"/>
      <w:bookmarkStart w:id="10" w:name="_Toc43131828"/>
      <w:bookmarkStart w:id="11" w:name="_Toc43131891"/>
      <w:bookmarkStart w:id="12" w:name="_Toc43131829"/>
      <w:bookmarkStart w:id="13" w:name="_Toc43131892"/>
      <w:bookmarkStart w:id="14" w:name="_Toc43131830"/>
      <w:bookmarkStart w:id="15" w:name="_Toc43131893"/>
      <w:bookmarkStart w:id="16" w:name="_Toc110509040"/>
      <w:bookmarkStart w:id="17" w:name="_Toc110509133"/>
      <w:bookmarkStart w:id="18" w:name="_Toc110509041"/>
      <w:bookmarkStart w:id="19" w:name="_Toc110509134"/>
      <w:bookmarkStart w:id="20" w:name="_Toc110509042"/>
      <w:bookmarkStart w:id="21" w:name="_Toc110509135"/>
      <w:bookmarkStart w:id="22" w:name="_Toc110509043"/>
      <w:bookmarkStart w:id="23" w:name="_Toc110509136"/>
      <w:bookmarkStart w:id="24" w:name="_Toc110509044"/>
      <w:bookmarkStart w:id="25" w:name="_Toc110509137"/>
      <w:bookmarkStart w:id="26" w:name="_Toc110509045"/>
      <w:bookmarkStart w:id="27" w:name="_Toc110509138"/>
      <w:bookmarkStart w:id="28" w:name="_Toc110509046"/>
      <w:bookmarkStart w:id="29" w:name="_Toc110509139"/>
      <w:bookmarkStart w:id="30" w:name="_Toc110509047"/>
      <w:bookmarkStart w:id="31" w:name="_Toc110509140"/>
      <w:bookmarkStart w:id="32" w:name="_Toc110509048"/>
      <w:bookmarkStart w:id="33" w:name="_Toc110509141"/>
      <w:bookmarkStart w:id="34" w:name="_Toc110509049"/>
      <w:bookmarkStart w:id="35" w:name="_Toc110509142"/>
      <w:bookmarkStart w:id="36" w:name="_Toc110509053"/>
      <w:bookmarkStart w:id="37" w:name="_Toc110509146"/>
      <w:bookmarkStart w:id="38" w:name="_Toc110509054"/>
      <w:bookmarkStart w:id="39" w:name="_Toc110509147"/>
      <w:bookmarkStart w:id="40" w:name="_Toc110509055"/>
      <w:bookmarkStart w:id="41" w:name="_Toc110509148"/>
      <w:bookmarkStart w:id="42" w:name="_Toc110509056"/>
      <w:bookmarkStart w:id="43" w:name="_Toc110509149"/>
      <w:bookmarkStart w:id="44" w:name="_Toc110509057"/>
      <w:bookmarkStart w:id="45" w:name="_Toc110509150"/>
      <w:bookmarkStart w:id="46" w:name="_Toc89686788"/>
      <w:bookmarkStart w:id="47" w:name="_Toc90035123"/>
      <w:bookmarkStart w:id="48" w:name="_Toc495852829"/>
      <w:bookmarkStart w:id="49" w:name="_Toc4313189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FB34C8">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0" w:history="1">
        <w:r w:rsidRPr="00FB34C8">
          <w:rPr>
            <w:rStyle w:val="Hyperlink"/>
            <w:rFonts w:ascii="Arial" w:eastAsiaTheme="majorEastAsia" w:hAnsi="Arial" w:cs="Arial"/>
            <w:sz w:val="22"/>
            <w:szCs w:val="22"/>
          </w:rPr>
          <w:t>Equality Act 2010</w:t>
        </w:r>
      </w:hyperlink>
      <w:r w:rsidRPr="00FB34C8">
        <w:rPr>
          <w:rFonts w:ascii="Arial" w:hAnsi="Arial" w:cs="Arial"/>
          <w:sz w:val="22"/>
          <w:szCs w:val="22"/>
        </w:rPr>
        <w:t>. Consideration has been given to the impact this policy might have regard</w:t>
      </w:r>
      <w:r w:rsidR="0093273C">
        <w:rPr>
          <w:rFonts w:ascii="Arial" w:hAnsi="Arial" w:cs="Arial"/>
          <w:sz w:val="22"/>
          <w:szCs w:val="22"/>
        </w:rPr>
        <w:t>ing</w:t>
      </w:r>
      <w:r w:rsidRPr="00FB34C8">
        <w:rPr>
          <w:rFonts w:ascii="Arial" w:hAnsi="Arial" w:cs="Arial"/>
          <w:sz w:val="22"/>
          <w:szCs w:val="22"/>
        </w:rPr>
        <w:t xml:space="preserve"> the individual protected characteristics of those to whom it applies.</w:t>
      </w:r>
    </w:p>
    <w:p w14:paraId="01B263F8" w14:textId="77777777" w:rsidR="00BD305E" w:rsidRPr="00FB34C8" w:rsidRDefault="00BD305E" w:rsidP="00BD305E">
      <w:pPr>
        <w:rPr>
          <w:rFonts w:ascii="Arial" w:hAnsi="Arial" w:cs="Arial"/>
          <w:sz w:val="22"/>
          <w:szCs w:val="22"/>
        </w:rPr>
      </w:pPr>
    </w:p>
    <w:p w14:paraId="33B1C74F" w14:textId="350AC56B" w:rsidR="00BD305E" w:rsidRPr="00602F56" w:rsidRDefault="00BD305E" w:rsidP="00BD305E">
      <w:pPr>
        <w:rPr>
          <w:rFonts w:ascii="Arial" w:hAnsi="Arial" w:cs="Arial"/>
          <w:sz w:val="22"/>
          <w:szCs w:val="22"/>
        </w:rPr>
      </w:pPr>
      <w:r w:rsidRPr="00FB34C8">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bookmarkStart w:id="50" w:name="_Toc86834141"/>
      <w:bookmarkStart w:id="51" w:name="_Toc86834204"/>
      <w:bookmarkStart w:id="52" w:name="_Toc86834267"/>
      <w:bookmarkStart w:id="53" w:name="_Toc86834329"/>
      <w:bookmarkStart w:id="54" w:name="_Toc86834142"/>
      <w:bookmarkStart w:id="55" w:name="_Toc86834205"/>
      <w:bookmarkStart w:id="56" w:name="_Toc86834268"/>
      <w:bookmarkStart w:id="57" w:name="_Toc86834330"/>
      <w:bookmarkStart w:id="58" w:name="_Toc86834143"/>
      <w:bookmarkStart w:id="59" w:name="_Toc86834206"/>
      <w:bookmarkStart w:id="60" w:name="_Toc86834269"/>
      <w:bookmarkStart w:id="61" w:name="_Toc86834331"/>
      <w:bookmarkEnd w:id="50"/>
      <w:bookmarkEnd w:id="51"/>
      <w:bookmarkEnd w:id="52"/>
      <w:bookmarkEnd w:id="53"/>
      <w:bookmarkEnd w:id="54"/>
      <w:bookmarkEnd w:id="55"/>
      <w:bookmarkEnd w:id="56"/>
      <w:bookmarkEnd w:id="57"/>
      <w:bookmarkEnd w:id="58"/>
      <w:bookmarkEnd w:id="59"/>
      <w:bookmarkEnd w:id="60"/>
      <w:bookmarkEnd w:id="61"/>
      <w:r w:rsidRPr="00FB34C8">
        <w:rPr>
          <w:rFonts w:ascii="Arial" w:hAnsi="Arial" w:cs="Arial"/>
          <w:sz w:val="22"/>
          <w:szCs w:val="22"/>
        </w:rPr>
        <w:t xml:space="preserve"> Furthermore, this document applies to all employees of the organisation and other individuals performing functions in relation to the organisation such as agency workers, locums and contractors.</w:t>
      </w:r>
      <w:bookmarkEnd w:id="46"/>
      <w:bookmarkEnd w:id="47"/>
    </w:p>
    <w:p w14:paraId="1E29487A" w14:textId="02D60D85" w:rsidR="00663BAA" w:rsidRPr="00BD305E" w:rsidRDefault="00663BAA" w:rsidP="00663BAA">
      <w:pPr>
        <w:pStyle w:val="Heading1"/>
        <w:keepLines/>
        <w:pBdr>
          <w:bottom w:val="single" w:sz="4" w:space="1" w:color="595959" w:themeColor="text1" w:themeTint="A6"/>
        </w:pBdr>
        <w:spacing w:before="360" w:after="160" w:line="259" w:lineRule="auto"/>
        <w:rPr>
          <w:sz w:val="28"/>
          <w:szCs w:val="28"/>
        </w:rPr>
      </w:pPr>
      <w:bookmarkStart w:id="62" w:name="_Toc160544085"/>
      <w:bookmarkEnd w:id="48"/>
      <w:bookmarkEnd w:id="49"/>
      <w:r w:rsidRPr="00BD305E">
        <w:rPr>
          <w:sz w:val="28"/>
          <w:szCs w:val="28"/>
        </w:rPr>
        <w:t>Data protection</w:t>
      </w:r>
      <w:bookmarkEnd w:id="62"/>
      <w:r w:rsidRPr="00BD305E">
        <w:rPr>
          <w:sz w:val="28"/>
          <w:szCs w:val="28"/>
        </w:rPr>
        <w:t xml:space="preserve"> </w:t>
      </w:r>
    </w:p>
    <w:p w14:paraId="710165D6" w14:textId="77777777" w:rsidR="00663BAA" w:rsidRPr="00BD305E" w:rsidRDefault="00663BAA" w:rsidP="00680162"/>
    <w:p w14:paraId="596875B1" w14:textId="16D6E38B" w:rsidR="00663BAA" w:rsidRPr="00BD305E" w:rsidRDefault="00663BAA" w:rsidP="00663BAA">
      <w:pPr>
        <w:pStyle w:val="Heading2"/>
        <w:spacing w:before="0"/>
        <w:ind w:left="578" w:hanging="578"/>
        <w:rPr>
          <w:rFonts w:ascii="Arial" w:hAnsi="Arial" w:cs="Arial"/>
          <w:smallCaps w:val="0"/>
          <w:sz w:val="24"/>
          <w:szCs w:val="24"/>
          <w:lang w:val="en-GB"/>
        </w:rPr>
      </w:pPr>
      <w:bookmarkStart w:id="63" w:name="_Toc160544086"/>
      <w:r w:rsidRPr="00BD305E">
        <w:rPr>
          <w:rFonts w:ascii="Arial" w:hAnsi="Arial" w:cs="Arial"/>
          <w:smallCaps w:val="0"/>
          <w:sz w:val="24"/>
          <w:szCs w:val="24"/>
          <w:lang w:val="en-GB"/>
        </w:rPr>
        <w:t>Data protection by design</w:t>
      </w:r>
      <w:r w:rsidR="00137D0F">
        <w:rPr>
          <w:rFonts w:ascii="Arial" w:hAnsi="Arial" w:cs="Arial"/>
          <w:smallCaps w:val="0"/>
          <w:sz w:val="24"/>
          <w:szCs w:val="24"/>
          <w:lang w:val="en-GB"/>
        </w:rPr>
        <w:t xml:space="preserve"> and default</w:t>
      </w:r>
      <w:bookmarkEnd w:id="63"/>
    </w:p>
    <w:p w14:paraId="4B5C5D01" w14:textId="77777777" w:rsidR="00663BAA" w:rsidRPr="00BD305E" w:rsidRDefault="00663BAA" w:rsidP="00B566D0">
      <w:pPr>
        <w:rPr>
          <w:rFonts w:ascii="Arial" w:hAnsi="Arial" w:cs="Arial"/>
          <w:sz w:val="22"/>
          <w:szCs w:val="22"/>
          <w:lang w:eastAsia="en-US"/>
        </w:rPr>
      </w:pPr>
    </w:p>
    <w:p w14:paraId="2869AE9D" w14:textId="66849B3D" w:rsidR="00137D0F" w:rsidRDefault="007E2FDF" w:rsidP="00B25B50">
      <w:pP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The </w:t>
      </w:r>
      <w:hyperlink r:id="rId11" w:history="1">
        <w:r w:rsidRPr="007E2FDF">
          <w:rPr>
            <w:rStyle w:val="Hyperlink"/>
            <w:rFonts w:ascii="Arial" w:hAnsi="Arial" w:cs="Arial"/>
            <w:sz w:val="22"/>
            <w:szCs w:val="22"/>
            <w:shd w:val="clear" w:color="auto" w:fill="FFFFFF"/>
          </w:rPr>
          <w:t>Information Commissioner</w:t>
        </w:r>
        <w:r w:rsidR="0093273C">
          <w:rPr>
            <w:rStyle w:val="Hyperlink"/>
            <w:rFonts w:ascii="Arial" w:hAnsi="Arial" w:cs="Arial"/>
            <w:sz w:val="22"/>
            <w:szCs w:val="22"/>
            <w:shd w:val="clear" w:color="auto" w:fill="FFFFFF"/>
          </w:rPr>
          <w:t>’</w:t>
        </w:r>
        <w:r w:rsidRPr="007E2FDF">
          <w:rPr>
            <w:rStyle w:val="Hyperlink"/>
            <w:rFonts w:ascii="Arial" w:hAnsi="Arial" w:cs="Arial"/>
            <w:sz w:val="22"/>
            <w:szCs w:val="22"/>
            <w:shd w:val="clear" w:color="auto" w:fill="FFFFFF"/>
          </w:rPr>
          <w:t>s Office</w:t>
        </w:r>
      </w:hyperlink>
      <w:r>
        <w:rPr>
          <w:rFonts w:ascii="Arial" w:hAnsi="Arial" w:cs="Arial"/>
          <w:color w:val="000000"/>
          <w:sz w:val="22"/>
          <w:szCs w:val="22"/>
          <w:shd w:val="clear" w:color="auto" w:fill="FFFFFF"/>
        </w:rPr>
        <w:t xml:space="preserve"> (ICO) advise</w:t>
      </w:r>
      <w:r w:rsidR="0093273C">
        <w:rPr>
          <w:rFonts w:ascii="Arial" w:hAnsi="Arial" w:cs="Arial"/>
          <w:color w:val="000000"/>
          <w:sz w:val="22"/>
          <w:szCs w:val="22"/>
          <w:shd w:val="clear" w:color="auto" w:fill="FFFFFF"/>
        </w:rPr>
        <w:t>s</w:t>
      </w:r>
      <w:r>
        <w:rPr>
          <w:rFonts w:ascii="Arial" w:hAnsi="Arial" w:cs="Arial"/>
          <w:color w:val="000000"/>
          <w:sz w:val="22"/>
          <w:szCs w:val="22"/>
          <w:shd w:val="clear" w:color="auto" w:fill="FFFFFF"/>
        </w:rPr>
        <w:t xml:space="preserve"> that the UK GDPR requires this organisation to put in place appropriate technical and organisational measures to implement the data principles effectively; this is data protection by design and default. </w:t>
      </w:r>
    </w:p>
    <w:p w14:paraId="70541E33" w14:textId="77777777" w:rsidR="00137D0F" w:rsidRDefault="00137D0F" w:rsidP="00B25B50">
      <w:pPr>
        <w:rPr>
          <w:rFonts w:ascii="Arial" w:hAnsi="Arial" w:cs="Arial"/>
          <w:color w:val="000000"/>
          <w:sz w:val="22"/>
          <w:szCs w:val="22"/>
          <w:shd w:val="clear" w:color="auto" w:fill="FFFFFF"/>
        </w:rPr>
      </w:pPr>
    </w:p>
    <w:p w14:paraId="7BDFA27C" w14:textId="6AA58068" w:rsidR="00B25B50" w:rsidRPr="00BD305E" w:rsidRDefault="007E2FDF" w:rsidP="00B25B50">
      <w:pPr>
        <w:rPr>
          <w:rFonts w:ascii="Arial" w:hAnsi="Arial" w:cs="Arial"/>
          <w:sz w:val="22"/>
          <w:szCs w:val="22"/>
        </w:rPr>
      </w:pPr>
      <w:r>
        <w:rPr>
          <w:rFonts w:ascii="Arial" w:hAnsi="Arial" w:cs="Arial"/>
          <w:color w:val="000000"/>
          <w:sz w:val="22"/>
          <w:szCs w:val="22"/>
          <w:shd w:val="clear" w:color="auto" w:fill="FFFFFF"/>
        </w:rPr>
        <w:lastRenderedPageBreak/>
        <w:t>Data protection by design is about considering data protection and privacy issues upfront, in everything that the organisation does.</w:t>
      </w:r>
      <w:r w:rsidR="00137D0F">
        <w:rPr>
          <w:rFonts w:ascii="Arial" w:hAnsi="Arial" w:cs="Arial"/>
          <w:color w:val="000000"/>
          <w:sz w:val="22"/>
          <w:szCs w:val="22"/>
          <w:shd w:val="clear" w:color="auto" w:fill="FFFFFF"/>
        </w:rPr>
        <w:t xml:space="preserve"> Data protection by default requires this organisation to only process the data that is necessary to achieve a specific purpose.</w:t>
      </w:r>
    </w:p>
    <w:p w14:paraId="4A8B5619" w14:textId="5E72D5A5" w:rsidR="000375A3" w:rsidRPr="00BD305E" w:rsidRDefault="000375A3" w:rsidP="00E23FDB">
      <w:pPr>
        <w:rPr>
          <w:rFonts w:ascii="Arial" w:hAnsi="Arial" w:cs="Arial"/>
          <w:color w:val="000000" w:themeColor="text1"/>
          <w:sz w:val="22"/>
          <w:szCs w:val="22"/>
        </w:rPr>
      </w:pPr>
    </w:p>
    <w:p w14:paraId="767B0F9A" w14:textId="5B0BBBAD" w:rsidR="000375A3" w:rsidRPr="00BD305E" w:rsidRDefault="003B6C28" w:rsidP="00E23FDB">
      <w:pPr>
        <w:rPr>
          <w:rFonts w:ascii="Arial" w:hAnsi="Arial" w:cs="Arial"/>
          <w:color w:val="000000" w:themeColor="text1"/>
          <w:sz w:val="22"/>
          <w:szCs w:val="22"/>
        </w:rPr>
      </w:pPr>
      <w:r>
        <w:rPr>
          <w:rFonts w:ascii="Arial" w:hAnsi="Arial" w:cs="Arial"/>
          <w:color w:val="000000" w:themeColor="text1"/>
          <w:sz w:val="22"/>
          <w:szCs w:val="22"/>
        </w:rPr>
        <w:t>This organisation</w:t>
      </w:r>
      <w:r w:rsidR="000375A3" w:rsidRPr="00BD305E">
        <w:rPr>
          <w:rFonts w:ascii="Arial" w:hAnsi="Arial" w:cs="Arial"/>
          <w:color w:val="000000" w:themeColor="text1"/>
          <w:sz w:val="22"/>
          <w:szCs w:val="22"/>
        </w:rPr>
        <w:t xml:space="preserve"> will demonstrate data protection by design </w:t>
      </w:r>
      <w:r>
        <w:rPr>
          <w:rFonts w:ascii="Arial" w:hAnsi="Arial" w:cs="Arial"/>
          <w:color w:val="000000" w:themeColor="text1"/>
          <w:sz w:val="22"/>
          <w:szCs w:val="22"/>
        </w:rPr>
        <w:t>and default by</w:t>
      </w:r>
      <w:r w:rsidR="000375A3" w:rsidRPr="00BD305E">
        <w:rPr>
          <w:rFonts w:ascii="Arial" w:hAnsi="Arial" w:cs="Arial"/>
          <w:color w:val="000000" w:themeColor="text1"/>
          <w:sz w:val="22"/>
          <w:szCs w:val="22"/>
        </w:rPr>
        <w:t>:</w:t>
      </w:r>
    </w:p>
    <w:p w14:paraId="64F7076A" w14:textId="73E45F2C" w:rsidR="000375A3" w:rsidRPr="00BD305E" w:rsidRDefault="000375A3" w:rsidP="00E23FDB">
      <w:pPr>
        <w:rPr>
          <w:rFonts w:ascii="Arial" w:hAnsi="Arial" w:cs="Arial"/>
          <w:color w:val="000000" w:themeColor="text1"/>
          <w:sz w:val="22"/>
          <w:szCs w:val="22"/>
        </w:rPr>
      </w:pPr>
    </w:p>
    <w:p w14:paraId="1B2409E1" w14:textId="249F1EC5" w:rsidR="000375A3" w:rsidRPr="00BD305E" w:rsidRDefault="000375A3" w:rsidP="000375A3">
      <w:pPr>
        <w:pStyle w:val="ListParagraph"/>
        <w:numPr>
          <w:ilvl w:val="0"/>
          <w:numId w:val="31"/>
        </w:numPr>
        <w:rPr>
          <w:rFonts w:ascii="Arial" w:hAnsi="Arial" w:cs="Arial"/>
        </w:rPr>
      </w:pPr>
      <w:r w:rsidRPr="00BD305E">
        <w:rPr>
          <w:rFonts w:ascii="Arial" w:hAnsi="Arial" w:cs="Arial"/>
        </w:rPr>
        <w:t xml:space="preserve">Conducting a </w:t>
      </w:r>
      <w:r w:rsidR="006B16BA" w:rsidRPr="00BD305E">
        <w:rPr>
          <w:rFonts w:ascii="Arial" w:hAnsi="Arial" w:cs="Arial"/>
        </w:rPr>
        <w:t xml:space="preserve">Data Protection Impact Assessment </w:t>
      </w:r>
      <w:r w:rsidRPr="00BD305E">
        <w:rPr>
          <w:rFonts w:ascii="Arial" w:hAnsi="Arial" w:cs="Arial"/>
        </w:rPr>
        <w:t>(DPIA)</w:t>
      </w:r>
    </w:p>
    <w:p w14:paraId="0160C390" w14:textId="77777777" w:rsidR="009808D7" w:rsidRPr="00BD305E" w:rsidRDefault="009808D7" w:rsidP="009808D7">
      <w:pPr>
        <w:pStyle w:val="ListParagraph"/>
        <w:rPr>
          <w:rFonts w:ascii="Arial" w:hAnsi="Arial" w:cs="Arial"/>
        </w:rPr>
      </w:pPr>
    </w:p>
    <w:p w14:paraId="4D088825" w14:textId="149394F7" w:rsidR="000375A3" w:rsidRPr="00BD305E" w:rsidRDefault="000375A3" w:rsidP="000375A3">
      <w:pPr>
        <w:pStyle w:val="ListParagraph"/>
        <w:numPr>
          <w:ilvl w:val="0"/>
          <w:numId w:val="31"/>
        </w:numPr>
        <w:rPr>
          <w:rFonts w:ascii="Arial" w:hAnsi="Arial" w:cs="Arial"/>
        </w:rPr>
      </w:pPr>
      <w:r w:rsidRPr="00BD305E">
        <w:rPr>
          <w:rFonts w:ascii="Arial" w:hAnsi="Arial" w:cs="Arial"/>
        </w:rPr>
        <w:t>Ensuring there are privacy notices on the website and in the waiting rooms which are written in simple, easy-to-understand language</w:t>
      </w:r>
    </w:p>
    <w:p w14:paraId="6A97DBBC" w14:textId="5DF27DD2" w:rsidR="000375A3" w:rsidRPr="00BD305E" w:rsidRDefault="000375A3" w:rsidP="000375A3">
      <w:pPr>
        <w:pStyle w:val="ListParagraph"/>
        <w:numPr>
          <w:ilvl w:val="0"/>
          <w:numId w:val="31"/>
        </w:numPr>
        <w:rPr>
          <w:rFonts w:ascii="Arial" w:hAnsi="Arial" w:cs="Arial"/>
        </w:rPr>
      </w:pPr>
      <w:r w:rsidRPr="00BD305E">
        <w:rPr>
          <w:rFonts w:ascii="Arial" w:hAnsi="Arial" w:cs="Arial"/>
        </w:rPr>
        <w:t xml:space="preserve">Adhering to </w:t>
      </w:r>
      <w:hyperlink r:id="rId12" w:history="1">
        <w:r w:rsidRPr="003B6C28">
          <w:rPr>
            <w:rStyle w:val="Hyperlink"/>
            <w:rFonts w:ascii="Arial" w:hAnsi="Arial" w:cs="Arial"/>
          </w:rPr>
          <w:t>Articles 25(1) and 25(2)</w:t>
        </w:r>
      </w:hyperlink>
      <w:r w:rsidRPr="00BD305E">
        <w:rPr>
          <w:rFonts w:ascii="Arial" w:hAnsi="Arial" w:cs="Arial"/>
        </w:rPr>
        <w:t xml:space="preserve"> of the </w:t>
      </w:r>
      <w:r w:rsidR="005536AA" w:rsidRPr="00BD305E">
        <w:rPr>
          <w:rFonts w:ascii="Arial" w:hAnsi="Arial" w:cs="Arial"/>
        </w:rPr>
        <w:t xml:space="preserve">UK </w:t>
      </w:r>
      <w:r w:rsidRPr="00BD305E">
        <w:rPr>
          <w:rFonts w:ascii="Arial" w:hAnsi="Arial" w:cs="Arial"/>
        </w:rPr>
        <w:t>GDPR</w:t>
      </w:r>
    </w:p>
    <w:p w14:paraId="450DB19B" w14:textId="77777777" w:rsidR="009808D7" w:rsidRPr="00BD305E" w:rsidRDefault="009808D7" w:rsidP="009808D7">
      <w:pPr>
        <w:rPr>
          <w:rFonts w:ascii="Arial" w:hAnsi="Arial" w:cs="Arial"/>
        </w:rPr>
      </w:pPr>
    </w:p>
    <w:p w14:paraId="36C9CC85" w14:textId="6858B9F4" w:rsidR="00E656A3" w:rsidRPr="00BD305E" w:rsidRDefault="00E656A3" w:rsidP="00E656A3">
      <w:pPr>
        <w:pStyle w:val="ListParagraph"/>
        <w:numPr>
          <w:ilvl w:val="0"/>
          <w:numId w:val="32"/>
        </w:numPr>
        <w:rPr>
          <w:rFonts w:ascii="Arial" w:hAnsi="Arial" w:cs="Arial"/>
        </w:rPr>
      </w:pPr>
      <w:r w:rsidRPr="00BD305E">
        <w:rPr>
          <w:rFonts w:ascii="Arial" w:hAnsi="Arial" w:cs="Arial"/>
        </w:rPr>
        <w:t>Processing data only for the purpose(s) intended</w:t>
      </w:r>
    </w:p>
    <w:p w14:paraId="2BEFC007" w14:textId="77777777" w:rsidR="001E6730" w:rsidRPr="00BD305E" w:rsidRDefault="001E6730" w:rsidP="001E6730">
      <w:pPr>
        <w:pStyle w:val="ListParagraph"/>
        <w:rPr>
          <w:rFonts w:ascii="Arial" w:hAnsi="Arial" w:cs="Arial"/>
        </w:rPr>
      </w:pPr>
    </w:p>
    <w:p w14:paraId="2EE2C638" w14:textId="504C0949" w:rsidR="00E656A3" w:rsidRPr="00BD305E" w:rsidRDefault="00B25B50" w:rsidP="00E656A3">
      <w:pPr>
        <w:pStyle w:val="ListParagraph"/>
        <w:numPr>
          <w:ilvl w:val="0"/>
          <w:numId w:val="32"/>
        </w:numPr>
        <w:rPr>
          <w:rFonts w:ascii="Arial" w:hAnsi="Arial" w:cs="Arial"/>
        </w:rPr>
      </w:pPr>
      <w:r w:rsidRPr="00BD305E">
        <w:rPr>
          <w:rFonts w:ascii="Arial" w:hAnsi="Arial" w:cs="Arial"/>
        </w:rPr>
        <w:t>Ensuring c</w:t>
      </w:r>
      <w:r w:rsidR="00E656A3" w:rsidRPr="00BD305E">
        <w:rPr>
          <w:rFonts w:ascii="Arial" w:hAnsi="Arial" w:cs="Arial"/>
        </w:rPr>
        <w:t>onsent is obtained from the data subject prior to data being processed</w:t>
      </w:r>
    </w:p>
    <w:p w14:paraId="3E66B97E" w14:textId="77777777" w:rsidR="001E6730" w:rsidRPr="00BD305E" w:rsidRDefault="001E6730" w:rsidP="001E6730">
      <w:pPr>
        <w:rPr>
          <w:rFonts w:ascii="Arial" w:hAnsi="Arial" w:cs="Arial"/>
        </w:rPr>
      </w:pPr>
    </w:p>
    <w:p w14:paraId="69E90CAF" w14:textId="6CC604CB" w:rsidR="00E656A3" w:rsidRPr="00BD305E" w:rsidRDefault="00E656A3" w:rsidP="00E656A3">
      <w:pPr>
        <w:pStyle w:val="ListParagraph"/>
        <w:numPr>
          <w:ilvl w:val="0"/>
          <w:numId w:val="32"/>
        </w:numPr>
        <w:rPr>
          <w:rFonts w:ascii="Arial" w:hAnsi="Arial" w:cs="Arial"/>
        </w:rPr>
      </w:pPr>
      <w:r w:rsidRPr="00BD305E">
        <w:rPr>
          <w:rFonts w:ascii="Arial" w:hAnsi="Arial" w:cs="Arial"/>
        </w:rPr>
        <w:t xml:space="preserve">Providing patients </w:t>
      </w:r>
      <w:r w:rsidR="0093273C">
        <w:rPr>
          <w:rFonts w:ascii="Arial" w:hAnsi="Arial" w:cs="Arial"/>
        </w:rPr>
        <w:t xml:space="preserve">with </w:t>
      </w:r>
      <w:r w:rsidRPr="00BD305E">
        <w:rPr>
          <w:rFonts w:ascii="Arial" w:hAnsi="Arial" w:cs="Arial"/>
        </w:rPr>
        <w:t>access to their data on request (Subject Access Requests)</w:t>
      </w:r>
    </w:p>
    <w:p w14:paraId="221122D8" w14:textId="77777777" w:rsidR="001E6730" w:rsidRPr="00BD305E" w:rsidRDefault="001E6730" w:rsidP="001E6730">
      <w:pPr>
        <w:rPr>
          <w:rFonts w:ascii="Arial" w:hAnsi="Arial" w:cs="Arial"/>
        </w:rPr>
      </w:pPr>
    </w:p>
    <w:p w14:paraId="3AC8207C" w14:textId="6F69659E" w:rsidR="00E656A3" w:rsidRPr="00BD305E" w:rsidRDefault="00E656A3" w:rsidP="00E656A3">
      <w:pPr>
        <w:pStyle w:val="ListParagraph"/>
        <w:numPr>
          <w:ilvl w:val="0"/>
          <w:numId w:val="32"/>
        </w:numPr>
        <w:rPr>
          <w:rFonts w:ascii="Arial" w:hAnsi="Arial" w:cs="Arial"/>
        </w:rPr>
      </w:pPr>
      <w:r w:rsidRPr="00BD305E">
        <w:rPr>
          <w:rFonts w:ascii="Arial" w:hAnsi="Arial" w:cs="Arial"/>
        </w:rPr>
        <w:t>Ensur</w:t>
      </w:r>
      <w:r w:rsidR="00B25B50" w:rsidRPr="00BD305E">
        <w:rPr>
          <w:rFonts w:ascii="Arial" w:hAnsi="Arial" w:cs="Arial"/>
        </w:rPr>
        <w:t>ing</w:t>
      </w:r>
      <w:r w:rsidRPr="00BD305E">
        <w:rPr>
          <w:rFonts w:ascii="Arial" w:hAnsi="Arial" w:cs="Arial"/>
        </w:rPr>
        <w:t xml:space="preserve"> patients consent to access of their data</w:t>
      </w:r>
      <w:r w:rsidR="00256CC4" w:rsidRPr="00BD305E">
        <w:rPr>
          <w:rFonts w:ascii="Arial" w:hAnsi="Arial" w:cs="Arial"/>
        </w:rPr>
        <w:t xml:space="preserve"> by</w:t>
      </w:r>
      <w:r w:rsidRPr="00BD305E">
        <w:rPr>
          <w:rFonts w:ascii="Arial" w:hAnsi="Arial" w:cs="Arial"/>
        </w:rPr>
        <w:t xml:space="preserve"> third parties</w:t>
      </w:r>
    </w:p>
    <w:p w14:paraId="40B5FC9E" w14:textId="77777777" w:rsidR="001E6730" w:rsidRPr="00BD305E" w:rsidRDefault="001E6730" w:rsidP="001E6730">
      <w:pPr>
        <w:rPr>
          <w:rFonts w:ascii="Arial" w:hAnsi="Arial" w:cs="Arial"/>
        </w:rPr>
      </w:pPr>
    </w:p>
    <w:p w14:paraId="5BC4A8EE" w14:textId="4EEE4711" w:rsidR="00E656A3" w:rsidRPr="003B6C28" w:rsidRDefault="00B25B50" w:rsidP="00E656A3">
      <w:pPr>
        <w:pStyle w:val="ListParagraph"/>
        <w:numPr>
          <w:ilvl w:val="0"/>
          <w:numId w:val="32"/>
        </w:numPr>
        <w:rPr>
          <w:rFonts w:ascii="Arial" w:hAnsi="Arial" w:cs="Arial"/>
        </w:rPr>
      </w:pPr>
      <w:r w:rsidRPr="00BD305E">
        <w:rPr>
          <w:rFonts w:ascii="Arial" w:hAnsi="Arial" w:cs="Arial"/>
        </w:rPr>
        <w:t>P</w:t>
      </w:r>
      <w:r w:rsidR="00E656A3" w:rsidRPr="00BD305E">
        <w:rPr>
          <w:rFonts w:ascii="Arial" w:hAnsi="Arial" w:cs="Arial"/>
        </w:rPr>
        <w:t>rocess</w:t>
      </w:r>
      <w:r w:rsidRPr="00BD305E">
        <w:rPr>
          <w:rFonts w:ascii="Arial" w:hAnsi="Arial" w:cs="Arial"/>
        </w:rPr>
        <w:t>ing data</w:t>
      </w:r>
      <w:r w:rsidR="00E656A3" w:rsidRPr="00BD305E">
        <w:rPr>
          <w:rFonts w:ascii="Arial" w:hAnsi="Arial" w:cs="Arial"/>
        </w:rPr>
        <w:t xml:space="preserve"> in a manner that prevents data subjects being identified unless addition</w:t>
      </w:r>
      <w:r w:rsidRPr="00BD305E">
        <w:rPr>
          <w:rFonts w:ascii="Arial" w:hAnsi="Arial" w:cs="Arial"/>
        </w:rPr>
        <w:t>al</w:t>
      </w:r>
      <w:r w:rsidR="00E656A3" w:rsidRPr="00BD305E">
        <w:rPr>
          <w:rFonts w:ascii="Arial" w:hAnsi="Arial" w:cs="Arial"/>
        </w:rPr>
        <w:t xml:space="preserve"> information is provided (using a reference number as opposed to names</w:t>
      </w:r>
      <w:r w:rsidR="00680162" w:rsidRPr="00BD305E">
        <w:rPr>
          <w:rFonts w:ascii="Arial" w:hAnsi="Arial" w:cs="Arial"/>
        </w:rPr>
        <w:t xml:space="preserve"> – </w:t>
      </w:r>
      <w:r w:rsidR="00E656A3" w:rsidRPr="00BD305E">
        <w:rPr>
          <w:rFonts w:ascii="Arial" w:hAnsi="Arial" w:cs="Arial"/>
        </w:rPr>
        <w:t>pseudonymisation)</w:t>
      </w:r>
    </w:p>
    <w:p w14:paraId="2D2B452C" w14:textId="722925DB" w:rsidR="005067B1" w:rsidRPr="00BD305E" w:rsidRDefault="00B353C6" w:rsidP="005067B1">
      <w:pPr>
        <w:pStyle w:val="Heading1"/>
        <w:keepLines/>
        <w:pBdr>
          <w:bottom w:val="single" w:sz="4" w:space="1" w:color="595959" w:themeColor="text1" w:themeTint="A6"/>
        </w:pBdr>
        <w:spacing w:before="360" w:after="160" w:line="259" w:lineRule="auto"/>
        <w:rPr>
          <w:sz w:val="28"/>
          <w:szCs w:val="28"/>
        </w:rPr>
      </w:pPr>
      <w:bookmarkStart w:id="64" w:name="_Toc43131914"/>
      <w:bookmarkStart w:id="65" w:name="_Toc160544087"/>
      <w:r w:rsidRPr="00BD305E">
        <w:rPr>
          <w:sz w:val="28"/>
          <w:szCs w:val="28"/>
        </w:rPr>
        <w:t>Roles of data controllers and processors</w:t>
      </w:r>
      <w:bookmarkEnd w:id="64"/>
      <w:bookmarkEnd w:id="65"/>
    </w:p>
    <w:p w14:paraId="313CC3F0" w14:textId="7C6D8DD4" w:rsidR="005407DE" w:rsidRPr="00BD305E" w:rsidRDefault="0035050E" w:rsidP="005407DE">
      <w:pPr>
        <w:pStyle w:val="Heading2"/>
        <w:rPr>
          <w:rFonts w:ascii="Arial" w:hAnsi="Arial" w:cs="Arial"/>
          <w:smallCaps w:val="0"/>
          <w:sz w:val="24"/>
          <w:szCs w:val="24"/>
          <w:lang w:val="en-GB"/>
        </w:rPr>
      </w:pPr>
      <w:bookmarkStart w:id="66" w:name="_Toc43131915"/>
      <w:bookmarkStart w:id="67" w:name="_Toc160544088"/>
      <w:r w:rsidRPr="00BD305E">
        <w:rPr>
          <w:rFonts w:ascii="Arial" w:hAnsi="Arial" w:cs="Arial"/>
          <w:smallCaps w:val="0"/>
          <w:sz w:val="24"/>
          <w:szCs w:val="24"/>
          <w:lang w:val="en-GB"/>
        </w:rPr>
        <w:t>Data c</w:t>
      </w:r>
      <w:r w:rsidR="00B353C6" w:rsidRPr="00BD305E">
        <w:rPr>
          <w:rFonts w:ascii="Arial" w:hAnsi="Arial" w:cs="Arial"/>
          <w:smallCaps w:val="0"/>
          <w:sz w:val="24"/>
          <w:szCs w:val="24"/>
          <w:lang w:val="en-GB"/>
        </w:rPr>
        <w:t>ontroller</w:t>
      </w:r>
      <w:bookmarkEnd w:id="66"/>
      <w:bookmarkEnd w:id="67"/>
    </w:p>
    <w:p w14:paraId="0335A196" w14:textId="77777777" w:rsidR="005407DE" w:rsidRPr="00BD305E" w:rsidRDefault="005407DE" w:rsidP="005407DE"/>
    <w:p w14:paraId="39E0F528" w14:textId="03B2C2A8" w:rsidR="003B6C28" w:rsidRDefault="003B6C28" w:rsidP="000155E6">
      <w:pPr>
        <w:rPr>
          <w:rFonts w:ascii="Arial" w:hAnsi="Arial" w:cs="Arial"/>
          <w:color w:val="000000" w:themeColor="text1"/>
          <w:sz w:val="22"/>
          <w:szCs w:val="22"/>
        </w:rPr>
      </w:pPr>
      <w:r>
        <w:rPr>
          <w:rFonts w:ascii="Arial" w:hAnsi="Arial" w:cs="Arial"/>
          <w:color w:val="000000" w:themeColor="text1"/>
          <w:sz w:val="22"/>
          <w:szCs w:val="22"/>
        </w:rPr>
        <w:t xml:space="preserve">The </w:t>
      </w:r>
      <w:hyperlink r:id="rId13" w:anchor=":~:text=Any%20information%20relating%20to%20a,%2C%20genetic%2C%20mental%2C%20economic%2C" w:history="1">
        <w:r w:rsidRPr="003B6C28">
          <w:rPr>
            <w:rStyle w:val="Hyperlink"/>
            <w:rFonts w:ascii="Arial" w:hAnsi="Arial" w:cs="Arial"/>
            <w:sz w:val="22"/>
            <w:szCs w:val="22"/>
          </w:rPr>
          <w:t>ICO</w:t>
        </w:r>
      </w:hyperlink>
      <w:r>
        <w:rPr>
          <w:rFonts w:ascii="Arial" w:hAnsi="Arial" w:cs="Arial"/>
          <w:color w:val="000000" w:themeColor="text1"/>
          <w:sz w:val="22"/>
          <w:szCs w:val="22"/>
        </w:rPr>
        <w:t xml:space="preserve"> define</w:t>
      </w:r>
      <w:r w:rsidR="0093273C">
        <w:rPr>
          <w:rFonts w:ascii="Arial" w:hAnsi="Arial" w:cs="Arial"/>
          <w:color w:val="000000" w:themeColor="text1"/>
          <w:sz w:val="22"/>
          <w:szCs w:val="22"/>
        </w:rPr>
        <w:t>s</w:t>
      </w:r>
      <w:r>
        <w:rPr>
          <w:rFonts w:ascii="Arial" w:hAnsi="Arial" w:cs="Arial"/>
          <w:color w:val="000000" w:themeColor="text1"/>
          <w:sz w:val="22"/>
          <w:szCs w:val="22"/>
        </w:rPr>
        <w:t xml:space="preserve"> a data controller as a person, public authority, agency or other body which, alone or jointly with others, determines the purposes and means of the processing of personal data. Controllers are responsible for the compliance of their processor(s). </w:t>
      </w:r>
    </w:p>
    <w:p w14:paraId="0D1AB37B" w14:textId="77777777" w:rsidR="003B6C28" w:rsidRDefault="003B6C28" w:rsidP="000155E6">
      <w:pPr>
        <w:rPr>
          <w:rFonts w:ascii="Arial" w:hAnsi="Arial" w:cs="Arial"/>
          <w:color w:val="000000" w:themeColor="text1"/>
          <w:sz w:val="22"/>
          <w:szCs w:val="22"/>
        </w:rPr>
      </w:pPr>
    </w:p>
    <w:p w14:paraId="250CEF21" w14:textId="4D64902D" w:rsidR="000155E6" w:rsidRPr="00BD305E" w:rsidRDefault="003B6C28" w:rsidP="000155E6">
      <w:pPr>
        <w:rPr>
          <w:rFonts w:ascii="Arial" w:hAnsi="Arial" w:cs="Arial"/>
          <w:color w:val="000000" w:themeColor="text1"/>
          <w:sz w:val="22"/>
          <w:szCs w:val="22"/>
        </w:rPr>
      </w:pPr>
      <w:r>
        <w:rPr>
          <w:rFonts w:ascii="Arial" w:hAnsi="Arial" w:cs="Arial"/>
          <w:color w:val="000000" w:themeColor="text1"/>
          <w:sz w:val="22"/>
          <w:szCs w:val="22"/>
        </w:rPr>
        <w:t xml:space="preserve">This organisation is the data controller for the data it holds about </w:t>
      </w:r>
      <w:r w:rsidR="00ED57F5">
        <w:rPr>
          <w:rFonts w:ascii="Arial" w:hAnsi="Arial" w:cs="Arial"/>
          <w:color w:val="000000" w:themeColor="text1"/>
          <w:sz w:val="22"/>
          <w:szCs w:val="22"/>
        </w:rPr>
        <w:t>its patients. The organisation must ensure and be able to demonstrate compliance</w:t>
      </w:r>
      <w:r w:rsidR="00B353C6" w:rsidRPr="00BD305E">
        <w:rPr>
          <w:rFonts w:ascii="Arial" w:hAnsi="Arial" w:cs="Arial"/>
          <w:color w:val="000000" w:themeColor="text1"/>
          <w:sz w:val="22"/>
          <w:szCs w:val="22"/>
        </w:rPr>
        <w:t xml:space="preserve"> wit</w:t>
      </w:r>
      <w:r w:rsidR="008349DE">
        <w:rPr>
          <w:rFonts w:ascii="Arial" w:hAnsi="Arial" w:cs="Arial"/>
          <w:color w:val="000000" w:themeColor="text1"/>
          <w:sz w:val="22"/>
          <w:szCs w:val="22"/>
        </w:rPr>
        <w:t xml:space="preserve">h </w:t>
      </w:r>
      <w:hyperlink r:id="rId14" w:history="1">
        <w:r w:rsidR="00B353C6" w:rsidRPr="00BD305E">
          <w:rPr>
            <w:rStyle w:val="Hyperlink"/>
            <w:rFonts w:ascii="Arial" w:hAnsi="Arial" w:cs="Arial"/>
            <w:sz w:val="22"/>
            <w:szCs w:val="22"/>
          </w:rPr>
          <w:t>Article 5</w:t>
        </w:r>
      </w:hyperlink>
      <w:r w:rsidR="00B353C6" w:rsidRPr="00BD305E">
        <w:rPr>
          <w:rFonts w:ascii="Arial" w:hAnsi="Arial" w:cs="Arial"/>
          <w:color w:val="000000" w:themeColor="text1"/>
          <w:sz w:val="22"/>
          <w:szCs w:val="22"/>
        </w:rPr>
        <w:t xml:space="preserve"> of the </w:t>
      </w:r>
      <w:r w:rsidR="00DC2986" w:rsidRPr="00BD305E">
        <w:rPr>
          <w:rFonts w:ascii="Arial" w:hAnsi="Arial" w:cs="Arial"/>
          <w:color w:val="000000" w:themeColor="text1"/>
          <w:sz w:val="22"/>
          <w:szCs w:val="22"/>
        </w:rPr>
        <w:t>UK GDPR</w:t>
      </w:r>
      <w:r w:rsidR="00ED57F5">
        <w:rPr>
          <w:rFonts w:ascii="Arial" w:hAnsi="Arial" w:cs="Arial"/>
          <w:color w:val="000000" w:themeColor="text1"/>
          <w:sz w:val="22"/>
          <w:szCs w:val="22"/>
        </w:rPr>
        <w:t xml:space="preserve"> which relates to the </w:t>
      </w:r>
      <w:r w:rsidR="008349DE">
        <w:rPr>
          <w:rFonts w:ascii="Arial" w:hAnsi="Arial" w:cs="Arial"/>
          <w:color w:val="000000" w:themeColor="text1"/>
          <w:sz w:val="22"/>
          <w:szCs w:val="22"/>
        </w:rPr>
        <w:t xml:space="preserve">seven key </w:t>
      </w:r>
      <w:r w:rsidR="00ED57F5">
        <w:rPr>
          <w:rFonts w:ascii="Arial" w:hAnsi="Arial" w:cs="Arial"/>
          <w:color w:val="000000" w:themeColor="text1"/>
          <w:sz w:val="22"/>
          <w:szCs w:val="22"/>
        </w:rPr>
        <w:t>principles of processing personal data</w:t>
      </w:r>
      <w:r w:rsidR="008349DE">
        <w:rPr>
          <w:rFonts w:ascii="Arial" w:hAnsi="Arial" w:cs="Arial"/>
          <w:color w:val="000000" w:themeColor="text1"/>
          <w:sz w:val="22"/>
          <w:szCs w:val="22"/>
        </w:rPr>
        <w:t>:</w:t>
      </w:r>
      <w:r w:rsidR="00ED57F5">
        <w:rPr>
          <w:rFonts w:ascii="Arial" w:hAnsi="Arial" w:cs="Arial"/>
          <w:color w:val="000000" w:themeColor="text1"/>
          <w:sz w:val="22"/>
          <w:szCs w:val="22"/>
        </w:rPr>
        <w:t xml:space="preserve"> </w:t>
      </w:r>
    </w:p>
    <w:p w14:paraId="75D12EBF" w14:textId="74FB4CF8" w:rsidR="00B353C6" w:rsidRPr="00BD305E" w:rsidRDefault="00B353C6" w:rsidP="000155E6">
      <w:pPr>
        <w:rPr>
          <w:rFonts w:ascii="Arial" w:hAnsi="Arial" w:cs="Arial"/>
          <w:color w:val="000000" w:themeColor="text1"/>
          <w:sz w:val="22"/>
          <w:szCs w:val="22"/>
        </w:rPr>
      </w:pPr>
    </w:p>
    <w:p w14:paraId="353658EE" w14:textId="074E5AE6" w:rsidR="00B353C6" w:rsidRPr="008349D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Lawfulness, fairness and transparency</w:t>
      </w:r>
    </w:p>
    <w:p w14:paraId="37300614" w14:textId="3079EF2C" w:rsidR="008349DE" w:rsidRPr="008349D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Purpose limitation</w:t>
      </w:r>
    </w:p>
    <w:p w14:paraId="365550D0" w14:textId="521A6D9A" w:rsidR="008349DE" w:rsidRPr="008349D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Data minimisation</w:t>
      </w:r>
    </w:p>
    <w:p w14:paraId="19BB31E4" w14:textId="6B898FE2" w:rsidR="008349DE" w:rsidRPr="008349D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Accuracy</w:t>
      </w:r>
    </w:p>
    <w:p w14:paraId="1D8DBBC2" w14:textId="7B5BA04C" w:rsidR="008349DE" w:rsidRPr="008349D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Storage limitation</w:t>
      </w:r>
    </w:p>
    <w:p w14:paraId="6F01B461" w14:textId="5FB48CFC" w:rsidR="008349DE" w:rsidRPr="008349D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Integrity and confidentiality (security)</w:t>
      </w:r>
    </w:p>
    <w:p w14:paraId="68CD0461" w14:textId="34ACDB27" w:rsidR="008349DE" w:rsidRPr="00BD305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lastRenderedPageBreak/>
        <w:t>Accountability</w:t>
      </w:r>
    </w:p>
    <w:p w14:paraId="14AFBC1C" w14:textId="3969EBF2" w:rsidR="00AB7728" w:rsidRPr="00BD305E" w:rsidRDefault="0035050E" w:rsidP="00AB7728">
      <w:pPr>
        <w:pStyle w:val="Heading2"/>
        <w:rPr>
          <w:rFonts w:ascii="Arial" w:hAnsi="Arial" w:cs="Arial"/>
          <w:smallCaps w:val="0"/>
          <w:sz w:val="24"/>
          <w:szCs w:val="24"/>
          <w:lang w:val="en-GB"/>
        </w:rPr>
      </w:pPr>
      <w:bookmarkStart w:id="68" w:name="_Toc43131916"/>
      <w:bookmarkStart w:id="69" w:name="_Toc160544089"/>
      <w:r w:rsidRPr="00BD305E">
        <w:rPr>
          <w:rFonts w:ascii="Arial" w:hAnsi="Arial" w:cs="Arial"/>
          <w:smallCaps w:val="0"/>
          <w:sz w:val="24"/>
          <w:szCs w:val="24"/>
          <w:lang w:val="en-GB"/>
        </w:rPr>
        <w:t>Data p</w:t>
      </w:r>
      <w:r w:rsidR="00AB7728" w:rsidRPr="00BD305E">
        <w:rPr>
          <w:rFonts w:ascii="Arial" w:hAnsi="Arial" w:cs="Arial"/>
          <w:smallCaps w:val="0"/>
          <w:sz w:val="24"/>
          <w:szCs w:val="24"/>
          <w:lang w:val="en-GB"/>
        </w:rPr>
        <w:t>rocessor</w:t>
      </w:r>
      <w:bookmarkEnd w:id="68"/>
      <w:bookmarkEnd w:id="69"/>
    </w:p>
    <w:p w14:paraId="0A2F83E5" w14:textId="66D95450" w:rsidR="00AB7728" w:rsidRPr="00BD305E" w:rsidRDefault="00AB7728" w:rsidP="00AB7728"/>
    <w:p w14:paraId="477E4DC8" w14:textId="3DB4B78D" w:rsidR="00AB7728" w:rsidRPr="00BD305E" w:rsidRDefault="008931A0" w:rsidP="00AB7728">
      <w:pPr>
        <w:rPr>
          <w:rFonts w:ascii="Arial" w:hAnsi="Arial" w:cs="Arial"/>
          <w:sz w:val="22"/>
          <w:szCs w:val="22"/>
        </w:rPr>
      </w:pPr>
      <w:r>
        <w:rPr>
          <w:rFonts w:ascii="Arial" w:hAnsi="Arial" w:cs="Arial"/>
          <w:sz w:val="22"/>
          <w:szCs w:val="22"/>
        </w:rPr>
        <w:t xml:space="preserve">The </w:t>
      </w:r>
      <w:hyperlink r:id="rId15" w:anchor=":~:text=Any%20information%20relating%20to%20a,%2C%20genetic%2C%20mental%2C%20economic%2C" w:history="1">
        <w:r w:rsidRPr="008931A0">
          <w:rPr>
            <w:rStyle w:val="Hyperlink"/>
            <w:rFonts w:ascii="Arial" w:hAnsi="Arial" w:cs="Arial"/>
            <w:sz w:val="22"/>
            <w:szCs w:val="22"/>
          </w:rPr>
          <w:t>ICO</w:t>
        </w:r>
      </w:hyperlink>
      <w:r>
        <w:rPr>
          <w:rFonts w:ascii="Arial" w:hAnsi="Arial" w:cs="Arial"/>
          <w:sz w:val="22"/>
          <w:szCs w:val="22"/>
        </w:rPr>
        <w:t xml:space="preserve"> define</w:t>
      </w:r>
      <w:r w:rsidR="0093273C">
        <w:rPr>
          <w:rFonts w:ascii="Arial" w:hAnsi="Arial" w:cs="Arial"/>
          <w:sz w:val="22"/>
          <w:szCs w:val="22"/>
        </w:rPr>
        <w:t>s</w:t>
      </w:r>
      <w:r>
        <w:rPr>
          <w:rFonts w:ascii="Arial" w:hAnsi="Arial" w:cs="Arial"/>
          <w:sz w:val="22"/>
          <w:szCs w:val="22"/>
        </w:rPr>
        <w:t xml:space="preserve"> a d</w:t>
      </w:r>
      <w:r w:rsidR="00DF505E" w:rsidRPr="00BD305E">
        <w:rPr>
          <w:rFonts w:ascii="Arial" w:hAnsi="Arial" w:cs="Arial"/>
          <w:sz w:val="22"/>
          <w:szCs w:val="22"/>
        </w:rPr>
        <w:t xml:space="preserve">ata processor </w:t>
      </w:r>
      <w:r>
        <w:rPr>
          <w:rFonts w:ascii="Arial" w:hAnsi="Arial" w:cs="Arial"/>
          <w:sz w:val="22"/>
          <w:szCs w:val="22"/>
        </w:rPr>
        <w:t>as a person, public authority, agency or other body which processes personal data on behalf of the controller.</w:t>
      </w:r>
      <w:r w:rsidR="00737EBA" w:rsidRPr="00BD305E">
        <w:rPr>
          <w:rFonts w:ascii="Arial" w:hAnsi="Arial" w:cs="Arial"/>
          <w:sz w:val="22"/>
          <w:szCs w:val="22"/>
        </w:rPr>
        <w:t xml:space="preserve"> </w:t>
      </w:r>
      <w:r w:rsidR="00DF505E" w:rsidRPr="00BD305E">
        <w:rPr>
          <w:rFonts w:ascii="Arial" w:hAnsi="Arial" w:cs="Arial"/>
          <w:sz w:val="22"/>
          <w:szCs w:val="22"/>
        </w:rPr>
        <w:t xml:space="preserve">Processors must ensure </w:t>
      </w:r>
      <w:r w:rsidR="00737EBA" w:rsidRPr="00BD305E">
        <w:rPr>
          <w:rFonts w:ascii="Arial" w:hAnsi="Arial" w:cs="Arial"/>
          <w:sz w:val="22"/>
          <w:szCs w:val="22"/>
        </w:rPr>
        <w:t xml:space="preserve">that </w:t>
      </w:r>
      <w:r w:rsidR="00DF505E" w:rsidRPr="00BD305E">
        <w:rPr>
          <w:rFonts w:ascii="Arial" w:hAnsi="Arial" w:cs="Arial"/>
          <w:sz w:val="22"/>
          <w:szCs w:val="22"/>
        </w:rPr>
        <w:t xml:space="preserve">processing </w:t>
      </w:r>
      <w:r>
        <w:rPr>
          <w:rFonts w:ascii="Arial" w:hAnsi="Arial" w:cs="Arial"/>
          <w:sz w:val="22"/>
          <w:szCs w:val="22"/>
        </w:rPr>
        <w:t xml:space="preserve">conforms to </w:t>
      </w:r>
      <w:hyperlink r:id="rId16" w:history="1">
        <w:r w:rsidRPr="008931A0">
          <w:rPr>
            <w:rStyle w:val="Hyperlink"/>
            <w:rFonts w:ascii="Arial" w:hAnsi="Arial" w:cs="Arial"/>
            <w:sz w:val="22"/>
            <w:szCs w:val="22"/>
          </w:rPr>
          <w:t>Article 6</w:t>
        </w:r>
      </w:hyperlink>
      <w:r>
        <w:rPr>
          <w:rFonts w:ascii="Arial" w:hAnsi="Arial" w:cs="Arial"/>
          <w:sz w:val="22"/>
          <w:szCs w:val="22"/>
        </w:rPr>
        <w:t xml:space="preserve"> of the UK GDPR</w:t>
      </w:r>
      <w:r w:rsidR="0093273C">
        <w:rPr>
          <w:rFonts w:ascii="Arial" w:hAnsi="Arial" w:cs="Arial"/>
          <w:sz w:val="22"/>
          <w:szCs w:val="22"/>
        </w:rPr>
        <w:t>:</w:t>
      </w:r>
      <w:r>
        <w:rPr>
          <w:rFonts w:ascii="Arial" w:hAnsi="Arial" w:cs="Arial"/>
          <w:sz w:val="22"/>
          <w:szCs w:val="22"/>
        </w:rPr>
        <w:t xml:space="preserve"> </w:t>
      </w:r>
    </w:p>
    <w:p w14:paraId="22F3E372" w14:textId="01696176" w:rsidR="00DF505E" w:rsidRPr="00BD305E" w:rsidRDefault="00DF505E" w:rsidP="00AB7728">
      <w:pPr>
        <w:rPr>
          <w:rFonts w:ascii="Arial" w:hAnsi="Arial" w:cs="Arial"/>
          <w:sz w:val="22"/>
          <w:szCs w:val="22"/>
        </w:rPr>
      </w:pPr>
    </w:p>
    <w:p w14:paraId="08DFB9FD" w14:textId="7D529CC6" w:rsidR="00DF505E" w:rsidRPr="00BD305E" w:rsidRDefault="00DF505E" w:rsidP="00204801">
      <w:pPr>
        <w:pStyle w:val="ListParagraph"/>
        <w:numPr>
          <w:ilvl w:val="0"/>
          <w:numId w:val="4"/>
        </w:numPr>
        <w:rPr>
          <w:rFonts w:ascii="Arial" w:eastAsia="Times New Roman" w:hAnsi="Arial" w:cs="Arial"/>
          <w:sz w:val="24"/>
          <w:szCs w:val="24"/>
        </w:rPr>
      </w:pPr>
      <w:r w:rsidRPr="00BD305E">
        <w:rPr>
          <w:rFonts w:ascii="Arial" w:hAnsi="Arial" w:cs="Arial"/>
          <w:shd w:val="clear" w:color="auto" w:fill="FFFFFF"/>
        </w:rPr>
        <w:t>The data subject has given cons</w:t>
      </w:r>
      <w:r w:rsidR="00737EBA" w:rsidRPr="00BD305E">
        <w:rPr>
          <w:rFonts w:ascii="Arial" w:hAnsi="Arial" w:cs="Arial"/>
          <w:shd w:val="clear" w:color="auto" w:fill="FFFFFF"/>
        </w:rPr>
        <w:t>ent to the processing of his/</w:t>
      </w:r>
      <w:r w:rsidRPr="00BD305E">
        <w:rPr>
          <w:rFonts w:ascii="Arial" w:hAnsi="Arial" w:cs="Arial"/>
          <w:shd w:val="clear" w:color="auto" w:fill="FFFFFF"/>
        </w:rPr>
        <w:t>her personal data for one or more specific purposes</w:t>
      </w:r>
    </w:p>
    <w:p w14:paraId="462B3220" w14:textId="77777777" w:rsidR="008570C9" w:rsidRPr="00BD305E" w:rsidRDefault="008570C9" w:rsidP="008570C9">
      <w:pPr>
        <w:pStyle w:val="ListParagraph"/>
        <w:rPr>
          <w:rFonts w:ascii="Arial" w:eastAsia="Times New Roman" w:hAnsi="Arial" w:cs="Arial"/>
          <w:sz w:val="24"/>
          <w:szCs w:val="24"/>
        </w:rPr>
      </w:pPr>
    </w:p>
    <w:p w14:paraId="58EDF8FF" w14:textId="3EC700A8" w:rsidR="008570C9" w:rsidRPr="00116F41" w:rsidRDefault="00DF505E" w:rsidP="008570C9">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for the performance of a contract to which the data subject is party or in order to take steps at the request of the data subject prior to entering into a contract</w:t>
      </w:r>
    </w:p>
    <w:p w14:paraId="3DB7C05E" w14:textId="77777777" w:rsidR="00116F41" w:rsidRPr="00116F41" w:rsidRDefault="00116F41" w:rsidP="00116F41">
      <w:pPr>
        <w:rPr>
          <w:rFonts w:ascii="Arial" w:hAnsi="Arial" w:cs="Arial"/>
        </w:rPr>
      </w:pPr>
    </w:p>
    <w:p w14:paraId="4C477CF5" w14:textId="33EB1631" w:rsidR="00DF505E" w:rsidRPr="00BD305E" w:rsidRDefault="00DF505E" w:rsidP="00204801">
      <w:pPr>
        <w:pStyle w:val="ListParagraph"/>
        <w:numPr>
          <w:ilvl w:val="0"/>
          <w:numId w:val="4"/>
        </w:numPr>
        <w:rPr>
          <w:rFonts w:ascii="Arial" w:hAnsi="Arial" w:cs="Arial"/>
          <w:sz w:val="24"/>
          <w:szCs w:val="24"/>
        </w:rPr>
      </w:pPr>
      <w:r w:rsidRPr="00BD305E">
        <w:rPr>
          <w:rFonts w:ascii="Arial" w:hAnsi="Arial" w:cs="Arial"/>
          <w:shd w:val="clear" w:color="auto" w:fill="FFFFFF"/>
        </w:rPr>
        <w:t xml:space="preserve">Processing is necessary for compliance with a legal obligation to which the </w:t>
      </w:r>
      <w:r w:rsidR="00256CC4" w:rsidRPr="00BD305E">
        <w:rPr>
          <w:rFonts w:ascii="Arial" w:hAnsi="Arial" w:cs="Arial"/>
          <w:shd w:val="clear" w:color="auto" w:fill="FFFFFF"/>
        </w:rPr>
        <w:t xml:space="preserve">data </w:t>
      </w:r>
      <w:r w:rsidRPr="00BD305E">
        <w:rPr>
          <w:rFonts w:ascii="Arial" w:hAnsi="Arial" w:cs="Arial"/>
          <w:shd w:val="clear" w:color="auto" w:fill="FFFFFF"/>
        </w:rPr>
        <w:t>controller is subject</w:t>
      </w:r>
    </w:p>
    <w:p w14:paraId="622444C9" w14:textId="77777777" w:rsidR="008570C9" w:rsidRPr="00BD305E" w:rsidRDefault="008570C9" w:rsidP="008570C9">
      <w:pPr>
        <w:rPr>
          <w:rFonts w:ascii="Arial" w:hAnsi="Arial" w:cs="Arial"/>
        </w:rPr>
      </w:pPr>
    </w:p>
    <w:p w14:paraId="41E9710C" w14:textId="4C0AF9C7" w:rsidR="00DF505E" w:rsidRPr="00BD305E" w:rsidRDefault="00DF505E" w:rsidP="00204801">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in order to protect the vital inte</w:t>
      </w:r>
      <w:r w:rsidR="00737EBA" w:rsidRPr="00BD305E">
        <w:rPr>
          <w:rFonts w:ascii="Arial" w:hAnsi="Arial" w:cs="Arial"/>
          <w:shd w:val="clear" w:color="auto" w:fill="FFFFFF"/>
        </w:rPr>
        <w:t xml:space="preserve">rests of the data subject or </w:t>
      </w:r>
      <w:r w:rsidRPr="00BD305E">
        <w:rPr>
          <w:rFonts w:ascii="Arial" w:hAnsi="Arial" w:cs="Arial"/>
          <w:shd w:val="clear" w:color="auto" w:fill="FFFFFF"/>
        </w:rPr>
        <w:t>another natural person</w:t>
      </w:r>
    </w:p>
    <w:p w14:paraId="7992B422" w14:textId="77777777" w:rsidR="008570C9" w:rsidRPr="00BD305E" w:rsidRDefault="008570C9" w:rsidP="008570C9">
      <w:pPr>
        <w:rPr>
          <w:rFonts w:ascii="Arial" w:hAnsi="Arial" w:cs="Arial"/>
        </w:rPr>
      </w:pPr>
    </w:p>
    <w:p w14:paraId="5465B0C4" w14:textId="5CBF32C9" w:rsidR="00DF505E" w:rsidRPr="00BD305E" w:rsidRDefault="00DF505E" w:rsidP="00204801">
      <w:pPr>
        <w:pStyle w:val="ListParagraph"/>
        <w:numPr>
          <w:ilvl w:val="0"/>
          <w:numId w:val="4"/>
        </w:numPr>
        <w:rPr>
          <w:rFonts w:ascii="Arial" w:hAnsi="Arial" w:cs="Arial"/>
          <w:sz w:val="24"/>
          <w:szCs w:val="24"/>
        </w:rPr>
      </w:pPr>
      <w:r w:rsidRPr="00BD305E">
        <w:rPr>
          <w:rFonts w:ascii="Arial" w:hAnsi="Arial" w:cs="Arial"/>
          <w:shd w:val="clear" w:color="auto" w:fill="FFFFFF"/>
        </w:rPr>
        <w:t xml:space="preserve">Processing is necessary for the performance of a task carried out in the public interest or in the exercise of official authority vested in the </w:t>
      </w:r>
      <w:r w:rsidR="00256CC4" w:rsidRPr="00BD305E">
        <w:rPr>
          <w:rFonts w:ascii="Arial" w:hAnsi="Arial" w:cs="Arial"/>
          <w:shd w:val="clear" w:color="auto" w:fill="FFFFFF"/>
        </w:rPr>
        <w:t xml:space="preserve">data </w:t>
      </w:r>
      <w:r w:rsidRPr="00BD305E">
        <w:rPr>
          <w:rFonts w:ascii="Arial" w:hAnsi="Arial" w:cs="Arial"/>
          <w:shd w:val="clear" w:color="auto" w:fill="FFFFFF"/>
        </w:rPr>
        <w:t>controller</w:t>
      </w:r>
    </w:p>
    <w:p w14:paraId="6BA27AD7" w14:textId="77777777" w:rsidR="008570C9" w:rsidRPr="00BD305E" w:rsidRDefault="008570C9" w:rsidP="008570C9">
      <w:pPr>
        <w:rPr>
          <w:rFonts w:ascii="Arial" w:hAnsi="Arial" w:cs="Arial"/>
        </w:rPr>
      </w:pPr>
    </w:p>
    <w:p w14:paraId="7590F12F" w14:textId="0F8F36F4" w:rsidR="00DF505E" w:rsidRPr="00BD305E" w:rsidRDefault="00DF505E" w:rsidP="00204801">
      <w:pPr>
        <w:pStyle w:val="ListParagraph"/>
        <w:numPr>
          <w:ilvl w:val="0"/>
          <w:numId w:val="4"/>
        </w:numPr>
        <w:rPr>
          <w:rFonts w:ascii="Arial" w:hAnsi="Arial" w:cs="Arial"/>
          <w:sz w:val="24"/>
          <w:szCs w:val="24"/>
        </w:rPr>
      </w:pPr>
      <w:r w:rsidRPr="00BD305E">
        <w:rPr>
          <w:rFonts w:ascii="Arial" w:hAnsi="Arial" w:cs="Arial"/>
          <w:shd w:val="clear" w:color="auto" w:fill="FFFFFF"/>
        </w:rPr>
        <w:t xml:space="preserve">Processing is necessary for the purposes of the legitimate interests pursued by the </w:t>
      </w:r>
      <w:r w:rsidR="00256CC4" w:rsidRPr="00BD305E">
        <w:rPr>
          <w:rFonts w:ascii="Arial" w:hAnsi="Arial" w:cs="Arial"/>
          <w:shd w:val="clear" w:color="auto" w:fill="FFFFFF"/>
        </w:rPr>
        <w:t xml:space="preserve">data </w:t>
      </w:r>
      <w:r w:rsidRPr="00BD305E">
        <w:rPr>
          <w:rFonts w:ascii="Arial" w:hAnsi="Arial" w:cs="Arial"/>
          <w:shd w:val="clear" w:color="auto" w:fill="FFFFFF"/>
        </w:rPr>
        <w:t>controller or by a third party, except whe</w:t>
      </w:r>
      <w:r w:rsidR="0093273C">
        <w:rPr>
          <w:rFonts w:ascii="Arial" w:hAnsi="Arial" w:cs="Arial"/>
          <w:shd w:val="clear" w:color="auto" w:fill="FFFFFF"/>
        </w:rPr>
        <w:t>n</w:t>
      </w:r>
      <w:r w:rsidRPr="00BD305E">
        <w:rPr>
          <w:rFonts w:ascii="Arial" w:hAnsi="Arial" w:cs="Arial"/>
          <w:shd w:val="clear" w:color="auto" w:fill="FFFFFF"/>
        </w:rPr>
        <w:t xml:space="preserve"> such interests are overridden by the interests or fundamental rights and freedoms of the data subject which require protection of personal data, in particular whe</w:t>
      </w:r>
      <w:r w:rsidR="0093273C">
        <w:rPr>
          <w:rFonts w:ascii="Arial" w:hAnsi="Arial" w:cs="Arial"/>
          <w:shd w:val="clear" w:color="auto" w:fill="FFFFFF"/>
        </w:rPr>
        <w:t>n</w:t>
      </w:r>
      <w:r w:rsidRPr="00BD305E">
        <w:rPr>
          <w:rFonts w:ascii="Arial" w:hAnsi="Arial" w:cs="Arial"/>
          <w:shd w:val="clear" w:color="auto" w:fill="FFFFFF"/>
        </w:rPr>
        <w:t xml:space="preserve"> the data subject is a child</w:t>
      </w:r>
    </w:p>
    <w:p w14:paraId="3CC8031F" w14:textId="53B265DA" w:rsidR="00E54816" w:rsidRPr="00BD305E" w:rsidRDefault="00E54816" w:rsidP="00E54816"/>
    <w:p w14:paraId="7DFA3CB3" w14:textId="043BE305" w:rsidR="00E54816" w:rsidRPr="00BD305E" w:rsidRDefault="00E54816" w:rsidP="00E54816">
      <w:pPr>
        <w:rPr>
          <w:rFonts w:ascii="Arial" w:hAnsi="Arial" w:cs="Arial"/>
          <w:sz w:val="22"/>
          <w:szCs w:val="22"/>
        </w:rPr>
      </w:pPr>
      <w:r w:rsidRPr="00BD305E">
        <w:rPr>
          <w:rFonts w:ascii="Arial" w:hAnsi="Arial" w:cs="Arial"/>
          <w:sz w:val="22"/>
          <w:szCs w:val="22"/>
        </w:rPr>
        <w:t xml:space="preserve">At </w:t>
      </w:r>
      <w:r w:rsidR="00116F41">
        <w:rPr>
          <w:rFonts w:ascii="Arial" w:hAnsi="Arial" w:cs="Arial"/>
          <w:sz w:val="22"/>
          <w:szCs w:val="22"/>
        </w:rPr>
        <w:t>this organisation</w:t>
      </w:r>
      <w:r w:rsidR="0093273C">
        <w:rPr>
          <w:rFonts w:ascii="Arial" w:hAnsi="Arial" w:cs="Arial"/>
          <w:sz w:val="22"/>
          <w:szCs w:val="22"/>
        </w:rPr>
        <w:t>,</w:t>
      </w:r>
      <w:r w:rsidRPr="00BD305E">
        <w:rPr>
          <w:rFonts w:ascii="Arial" w:hAnsi="Arial" w:cs="Arial"/>
          <w:sz w:val="22"/>
          <w:szCs w:val="22"/>
        </w:rPr>
        <w:t xml:space="preserve"> all staff </w:t>
      </w:r>
      <w:r w:rsidR="007C2FBE" w:rsidRPr="00BD305E">
        <w:rPr>
          <w:rFonts w:ascii="Arial" w:hAnsi="Arial" w:cs="Arial"/>
          <w:sz w:val="22"/>
          <w:szCs w:val="22"/>
        </w:rPr>
        <w:t>are cla</w:t>
      </w:r>
      <w:r w:rsidR="00737EBA" w:rsidRPr="00BD305E">
        <w:rPr>
          <w:rFonts w:ascii="Arial" w:hAnsi="Arial" w:cs="Arial"/>
          <w:sz w:val="22"/>
          <w:szCs w:val="22"/>
        </w:rPr>
        <w:t>ssed as data processors as their</w:t>
      </w:r>
      <w:r w:rsidR="007C2FBE" w:rsidRPr="00BD305E">
        <w:rPr>
          <w:rFonts w:ascii="Arial" w:hAnsi="Arial" w:cs="Arial"/>
          <w:sz w:val="22"/>
          <w:szCs w:val="22"/>
        </w:rPr>
        <w:t xml:space="preserve"> individual roles will require them to access and process personal data.</w:t>
      </w:r>
    </w:p>
    <w:p w14:paraId="6B1ED16C" w14:textId="0F9C7AB2" w:rsidR="0019118A" w:rsidRPr="00BD305E" w:rsidRDefault="00EE7A75" w:rsidP="0019118A">
      <w:pPr>
        <w:pStyle w:val="Heading1"/>
        <w:keepLines/>
        <w:pBdr>
          <w:bottom w:val="single" w:sz="4" w:space="1" w:color="595959" w:themeColor="text1" w:themeTint="A6"/>
        </w:pBdr>
        <w:spacing w:before="360" w:after="160" w:line="259" w:lineRule="auto"/>
        <w:rPr>
          <w:sz w:val="28"/>
          <w:szCs w:val="28"/>
        </w:rPr>
      </w:pPr>
      <w:bookmarkStart w:id="70" w:name="_Toc160544090"/>
      <w:r w:rsidRPr="00BD305E">
        <w:rPr>
          <w:sz w:val="28"/>
          <w:szCs w:val="28"/>
        </w:rPr>
        <w:t>Data</w:t>
      </w:r>
      <w:r w:rsidR="00CE51D3" w:rsidRPr="00BD305E">
        <w:rPr>
          <w:sz w:val="28"/>
          <w:szCs w:val="28"/>
        </w:rPr>
        <w:t xml:space="preserve"> </w:t>
      </w:r>
      <w:r w:rsidR="00761A21" w:rsidRPr="00BD305E">
        <w:rPr>
          <w:sz w:val="28"/>
          <w:szCs w:val="28"/>
        </w:rPr>
        <w:t>subjects’</w:t>
      </w:r>
      <w:r w:rsidR="00CE51D3" w:rsidRPr="00BD305E">
        <w:rPr>
          <w:sz w:val="28"/>
          <w:szCs w:val="28"/>
        </w:rPr>
        <w:t xml:space="preserve"> rights</w:t>
      </w:r>
      <w:bookmarkEnd w:id="70"/>
    </w:p>
    <w:p w14:paraId="384AAA76" w14:textId="30C2B255" w:rsidR="00CE51D3" w:rsidRPr="00BD305E" w:rsidRDefault="00CE51D3" w:rsidP="00CE51D3">
      <w:pPr>
        <w:pStyle w:val="Heading2"/>
        <w:rPr>
          <w:rFonts w:ascii="Arial" w:hAnsi="Arial" w:cs="Arial"/>
          <w:smallCaps w:val="0"/>
          <w:sz w:val="24"/>
          <w:szCs w:val="24"/>
          <w:lang w:val="en-GB"/>
        </w:rPr>
      </w:pPr>
      <w:bookmarkStart w:id="71" w:name="_Toc160544091"/>
      <w:r w:rsidRPr="00BD305E">
        <w:rPr>
          <w:rFonts w:ascii="Arial" w:hAnsi="Arial" w:cs="Arial"/>
          <w:smallCaps w:val="0"/>
          <w:sz w:val="24"/>
          <w:szCs w:val="24"/>
          <w:lang w:val="en-GB"/>
        </w:rPr>
        <w:t>Right to be informed</w:t>
      </w:r>
      <w:bookmarkEnd w:id="71"/>
    </w:p>
    <w:p w14:paraId="5DF23BF4" w14:textId="77777777" w:rsidR="00CE51D3" w:rsidRPr="00BD305E" w:rsidRDefault="00CE51D3" w:rsidP="00E2519D">
      <w:pPr>
        <w:rPr>
          <w:rFonts w:ascii="Arial" w:hAnsi="Arial" w:cs="Arial"/>
          <w:sz w:val="22"/>
          <w:szCs w:val="22"/>
        </w:rPr>
      </w:pPr>
    </w:p>
    <w:p w14:paraId="705443C5" w14:textId="5478331E" w:rsidR="00453DA5" w:rsidRPr="00BD305E" w:rsidRDefault="001C6D6A" w:rsidP="00CE51D3">
      <w:pPr>
        <w:rPr>
          <w:rFonts w:ascii="Arial" w:hAnsi="Arial" w:cs="Arial"/>
          <w:sz w:val="22"/>
          <w:szCs w:val="22"/>
        </w:rPr>
      </w:pPr>
      <w:r>
        <w:rPr>
          <w:rFonts w:ascii="Arial" w:hAnsi="Arial" w:cs="Arial"/>
          <w:sz w:val="22"/>
          <w:szCs w:val="22"/>
        </w:rPr>
        <w:t xml:space="preserve">The </w:t>
      </w:r>
      <w:hyperlink r:id="rId17" w:history="1">
        <w:r w:rsidRPr="001C6D6A">
          <w:rPr>
            <w:rStyle w:val="Hyperlink"/>
            <w:rFonts w:ascii="Arial" w:hAnsi="Arial" w:cs="Arial"/>
            <w:sz w:val="22"/>
            <w:szCs w:val="22"/>
          </w:rPr>
          <w:t>ICO</w:t>
        </w:r>
      </w:hyperlink>
      <w:r>
        <w:rPr>
          <w:rFonts w:ascii="Arial" w:hAnsi="Arial" w:cs="Arial"/>
          <w:sz w:val="22"/>
          <w:szCs w:val="22"/>
        </w:rPr>
        <w:t xml:space="preserve"> explain</w:t>
      </w:r>
      <w:r w:rsidR="0093273C">
        <w:rPr>
          <w:rFonts w:ascii="Arial" w:hAnsi="Arial" w:cs="Arial"/>
          <w:sz w:val="22"/>
          <w:szCs w:val="22"/>
        </w:rPr>
        <w:t>s</w:t>
      </w:r>
      <w:r>
        <w:rPr>
          <w:rFonts w:ascii="Arial" w:hAnsi="Arial" w:cs="Arial"/>
          <w:sz w:val="22"/>
          <w:szCs w:val="22"/>
        </w:rPr>
        <w:t xml:space="preserve"> that </w:t>
      </w:r>
      <w:hyperlink r:id="rId18" w:history="1">
        <w:r w:rsidR="00CE51D3" w:rsidRPr="001C6D6A">
          <w:rPr>
            <w:rStyle w:val="Hyperlink"/>
            <w:rFonts w:ascii="Arial" w:hAnsi="Arial" w:cs="Arial"/>
            <w:sz w:val="22"/>
            <w:szCs w:val="22"/>
          </w:rPr>
          <w:t>Articles 13</w:t>
        </w:r>
      </w:hyperlink>
      <w:r w:rsidR="00CE51D3" w:rsidRPr="00BD305E">
        <w:rPr>
          <w:rFonts w:ascii="Arial" w:hAnsi="Arial" w:cs="Arial"/>
          <w:sz w:val="22"/>
          <w:szCs w:val="22"/>
        </w:rPr>
        <w:t xml:space="preserve"> and </w:t>
      </w:r>
      <w:hyperlink r:id="rId19" w:history="1">
        <w:r w:rsidR="00CE51D3" w:rsidRPr="001C6D6A">
          <w:rPr>
            <w:rStyle w:val="Hyperlink"/>
            <w:rFonts w:ascii="Arial" w:hAnsi="Arial" w:cs="Arial"/>
            <w:sz w:val="22"/>
            <w:szCs w:val="22"/>
          </w:rPr>
          <w:t>14</w:t>
        </w:r>
      </w:hyperlink>
      <w:r w:rsidR="00CE51D3" w:rsidRPr="00BD305E">
        <w:rPr>
          <w:rFonts w:ascii="Arial" w:hAnsi="Arial" w:cs="Arial"/>
          <w:sz w:val="22"/>
          <w:szCs w:val="22"/>
        </w:rPr>
        <w:t xml:space="preserve"> of the UK GDPR </w:t>
      </w:r>
      <w:r>
        <w:rPr>
          <w:rFonts w:ascii="Arial" w:hAnsi="Arial" w:cs="Arial"/>
          <w:sz w:val="22"/>
          <w:szCs w:val="22"/>
        </w:rPr>
        <w:t>specify what individuals have the right to be informed about; this is referred to as ‘privacy information’</w:t>
      </w:r>
      <w:r w:rsidR="00CE51D3" w:rsidRPr="00BD305E">
        <w:rPr>
          <w:rFonts w:ascii="Arial" w:hAnsi="Arial" w:cs="Arial"/>
          <w:sz w:val="22"/>
          <w:szCs w:val="22"/>
        </w:rPr>
        <w:t>.</w:t>
      </w:r>
    </w:p>
    <w:p w14:paraId="7DBE80F5" w14:textId="7721DF61" w:rsidR="00CE51D3" w:rsidRPr="00BD305E" w:rsidRDefault="00CE51D3" w:rsidP="00CE51D3">
      <w:pPr>
        <w:pStyle w:val="Heading2"/>
        <w:rPr>
          <w:rFonts w:ascii="Arial" w:hAnsi="Arial" w:cs="Arial"/>
          <w:smallCaps w:val="0"/>
          <w:sz w:val="24"/>
          <w:szCs w:val="24"/>
          <w:lang w:val="en-GB"/>
        </w:rPr>
      </w:pPr>
      <w:bookmarkStart w:id="72" w:name="_Toc160544092"/>
      <w:r w:rsidRPr="00BD305E">
        <w:rPr>
          <w:rFonts w:ascii="Arial" w:hAnsi="Arial" w:cs="Arial"/>
          <w:smallCaps w:val="0"/>
          <w:sz w:val="24"/>
          <w:szCs w:val="24"/>
          <w:lang w:val="en-GB"/>
        </w:rPr>
        <w:t>Right of access</w:t>
      </w:r>
      <w:bookmarkEnd w:id="72"/>
    </w:p>
    <w:p w14:paraId="5B6AA725" w14:textId="77777777" w:rsidR="00CE51D3" w:rsidRPr="00BD305E" w:rsidRDefault="00CE51D3" w:rsidP="00E2519D">
      <w:pPr>
        <w:rPr>
          <w:rFonts w:ascii="Arial" w:hAnsi="Arial" w:cs="Arial"/>
          <w:sz w:val="22"/>
          <w:szCs w:val="22"/>
        </w:rPr>
      </w:pPr>
    </w:p>
    <w:p w14:paraId="40F397AF" w14:textId="5530BBF6" w:rsidR="00E23FDB" w:rsidRPr="00BD305E" w:rsidRDefault="001C6D6A" w:rsidP="00E23FDB">
      <w:pPr>
        <w:rPr>
          <w:rFonts w:ascii="Arial" w:hAnsi="Arial" w:cs="Arial"/>
          <w:sz w:val="22"/>
          <w:szCs w:val="22"/>
        </w:rPr>
      </w:pPr>
      <w:r>
        <w:rPr>
          <w:rFonts w:ascii="Arial" w:hAnsi="Arial" w:cs="Arial"/>
          <w:sz w:val="22"/>
          <w:szCs w:val="22"/>
        </w:rPr>
        <w:t>This organisation</w:t>
      </w:r>
      <w:r w:rsidR="00E23FDB" w:rsidRPr="00BD305E">
        <w:rPr>
          <w:rFonts w:ascii="Arial" w:hAnsi="Arial" w:cs="Arial"/>
          <w:sz w:val="22"/>
          <w:szCs w:val="22"/>
        </w:rPr>
        <w:t xml:space="preserve"> ensures </w:t>
      </w:r>
      <w:r w:rsidR="00C91E5D" w:rsidRPr="00BD305E">
        <w:rPr>
          <w:rFonts w:ascii="Arial" w:hAnsi="Arial" w:cs="Arial"/>
          <w:sz w:val="22"/>
          <w:szCs w:val="22"/>
        </w:rPr>
        <w:t xml:space="preserve">that </w:t>
      </w:r>
      <w:r w:rsidR="00E23FDB" w:rsidRPr="00BD305E">
        <w:rPr>
          <w:rFonts w:ascii="Arial" w:hAnsi="Arial" w:cs="Arial"/>
          <w:sz w:val="22"/>
          <w:szCs w:val="22"/>
        </w:rPr>
        <w:t xml:space="preserve">all patients are aware of their </w:t>
      </w:r>
      <w:hyperlink r:id="rId20" w:history="1">
        <w:r w:rsidR="00E23FDB" w:rsidRPr="001C6D6A">
          <w:rPr>
            <w:rStyle w:val="Hyperlink"/>
            <w:rFonts w:ascii="Arial" w:hAnsi="Arial" w:cs="Arial"/>
            <w:sz w:val="22"/>
            <w:szCs w:val="22"/>
          </w:rPr>
          <w:t>right to access</w:t>
        </w:r>
      </w:hyperlink>
      <w:r w:rsidR="00E23FDB" w:rsidRPr="00BD305E">
        <w:rPr>
          <w:rFonts w:ascii="Arial" w:hAnsi="Arial" w:cs="Arial"/>
          <w:sz w:val="22"/>
          <w:szCs w:val="22"/>
        </w:rPr>
        <w:t xml:space="preserve"> their data and has privacy notices displayed in the following locations:</w:t>
      </w:r>
    </w:p>
    <w:p w14:paraId="5C0EFC59" w14:textId="77777777" w:rsidR="00E23FDB" w:rsidRPr="00BD305E" w:rsidRDefault="00E23FDB" w:rsidP="00E23FDB">
      <w:pPr>
        <w:rPr>
          <w:rFonts w:ascii="Arial" w:hAnsi="Arial" w:cs="Arial"/>
          <w:sz w:val="22"/>
          <w:szCs w:val="22"/>
        </w:rPr>
      </w:pPr>
    </w:p>
    <w:p w14:paraId="45F3D220" w14:textId="77777777" w:rsidR="00E23FDB" w:rsidRPr="00BD305E" w:rsidRDefault="00E23FDB" w:rsidP="00E23FDB">
      <w:pPr>
        <w:pStyle w:val="ListParagraph"/>
        <w:numPr>
          <w:ilvl w:val="0"/>
          <w:numId w:val="20"/>
        </w:numPr>
        <w:rPr>
          <w:rFonts w:ascii="Arial" w:hAnsi="Arial" w:cs="Arial"/>
        </w:rPr>
      </w:pPr>
      <w:r w:rsidRPr="00BD305E">
        <w:rPr>
          <w:rFonts w:ascii="Arial" w:hAnsi="Arial" w:cs="Arial"/>
        </w:rPr>
        <w:lastRenderedPageBreak/>
        <w:t>Waiting room</w:t>
      </w:r>
    </w:p>
    <w:p w14:paraId="35D0EFC4" w14:textId="125B3508" w:rsidR="00E23FDB" w:rsidRPr="00BD305E" w:rsidRDefault="0034794D" w:rsidP="00E23FDB">
      <w:pPr>
        <w:pStyle w:val="ListParagraph"/>
        <w:numPr>
          <w:ilvl w:val="0"/>
          <w:numId w:val="20"/>
        </w:numPr>
        <w:rPr>
          <w:rFonts w:ascii="Arial" w:hAnsi="Arial" w:cs="Arial"/>
        </w:rPr>
      </w:pPr>
      <w:r w:rsidRPr="00BD305E">
        <w:rPr>
          <w:rFonts w:ascii="Arial" w:hAnsi="Arial" w:cs="Arial"/>
        </w:rPr>
        <w:t>Organisation</w:t>
      </w:r>
      <w:r w:rsidR="00E23FDB" w:rsidRPr="00BD305E">
        <w:rPr>
          <w:rFonts w:ascii="Arial" w:hAnsi="Arial" w:cs="Arial"/>
        </w:rPr>
        <w:t xml:space="preserve"> website</w:t>
      </w:r>
    </w:p>
    <w:p w14:paraId="2B8AF963" w14:textId="245166D5" w:rsidR="00E23FDB" w:rsidRPr="00BD305E" w:rsidRDefault="0034794D" w:rsidP="00E23FDB">
      <w:pPr>
        <w:pStyle w:val="ListParagraph"/>
        <w:numPr>
          <w:ilvl w:val="0"/>
          <w:numId w:val="20"/>
        </w:numPr>
        <w:rPr>
          <w:rFonts w:ascii="Arial" w:hAnsi="Arial" w:cs="Arial"/>
        </w:rPr>
      </w:pPr>
      <w:r w:rsidRPr="00BD305E">
        <w:rPr>
          <w:rFonts w:ascii="Arial" w:hAnsi="Arial" w:cs="Arial"/>
        </w:rPr>
        <w:t>Organisation</w:t>
      </w:r>
      <w:r w:rsidR="00E23FDB" w:rsidRPr="00BD305E">
        <w:rPr>
          <w:rFonts w:ascii="Arial" w:hAnsi="Arial" w:cs="Arial"/>
        </w:rPr>
        <w:t xml:space="preserve"> information leaflet</w:t>
      </w:r>
    </w:p>
    <w:p w14:paraId="1E9D21BD" w14:textId="77777777" w:rsidR="00E23FDB" w:rsidRPr="00BD305E" w:rsidRDefault="00E23FDB" w:rsidP="00E23FDB">
      <w:pPr>
        <w:rPr>
          <w:rFonts w:ascii="Arial" w:hAnsi="Arial" w:cs="Arial"/>
        </w:rPr>
      </w:pPr>
    </w:p>
    <w:p w14:paraId="0D240D54" w14:textId="53A484ED" w:rsidR="00E23FDB" w:rsidRPr="00BD305E" w:rsidRDefault="00E23FDB" w:rsidP="00E23FDB">
      <w:pPr>
        <w:rPr>
          <w:rFonts w:ascii="Arial" w:hAnsi="Arial" w:cs="Arial"/>
          <w:sz w:val="22"/>
          <w:szCs w:val="22"/>
        </w:rPr>
      </w:pPr>
      <w:r w:rsidRPr="00BD305E">
        <w:rPr>
          <w:rFonts w:ascii="Arial" w:hAnsi="Arial" w:cs="Arial"/>
          <w:sz w:val="22"/>
          <w:szCs w:val="22"/>
        </w:rPr>
        <w:t xml:space="preserve">To comply with the </w:t>
      </w:r>
      <w:r w:rsidR="00CE51D3" w:rsidRPr="00BD305E">
        <w:rPr>
          <w:rFonts w:ascii="Arial" w:hAnsi="Arial" w:cs="Arial"/>
          <w:sz w:val="22"/>
          <w:szCs w:val="22"/>
        </w:rPr>
        <w:t xml:space="preserve">UK </w:t>
      </w:r>
      <w:r w:rsidRPr="00BD305E">
        <w:rPr>
          <w:rFonts w:ascii="Arial" w:hAnsi="Arial" w:cs="Arial"/>
          <w:sz w:val="22"/>
          <w:szCs w:val="22"/>
        </w:rPr>
        <w:t>GDPR</w:t>
      </w:r>
      <w:r w:rsidR="00C91E5D" w:rsidRPr="00BD305E">
        <w:rPr>
          <w:rFonts w:ascii="Arial" w:hAnsi="Arial" w:cs="Arial"/>
          <w:sz w:val="22"/>
          <w:szCs w:val="22"/>
        </w:rPr>
        <w:t>,</w:t>
      </w:r>
      <w:r w:rsidRPr="00BD305E">
        <w:rPr>
          <w:rFonts w:ascii="Arial" w:hAnsi="Arial" w:cs="Arial"/>
          <w:sz w:val="22"/>
          <w:szCs w:val="22"/>
        </w:rPr>
        <w:t xml:space="preserve"> all privacy notices are written in a language that is understandable to all patients and meet the criteria detailed in Articles </w:t>
      </w:r>
      <w:hyperlink r:id="rId21" w:history="1">
        <w:r w:rsidRPr="001C6D6A">
          <w:rPr>
            <w:rStyle w:val="Hyperlink"/>
            <w:rFonts w:ascii="Arial" w:hAnsi="Arial" w:cs="Arial"/>
            <w:sz w:val="22"/>
            <w:szCs w:val="22"/>
          </w:rPr>
          <w:t>12</w:t>
        </w:r>
      </w:hyperlink>
      <w:r w:rsidRPr="00BD305E">
        <w:rPr>
          <w:rFonts w:ascii="Arial" w:hAnsi="Arial" w:cs="Arial"/>
          <w:sz w:val="22"/>
          <w:szCs w:val="22"/>
        </w:rPr>
        <w:t xml:space="preserve">, </w:t>
      </w:r>
      <w:hyperlink r:id="rId22" w:history="1">
        <w:r w:rsidRPr="001C6D6A">
          <w:rPr>
            <w:rStyle w:val="Hyperlink"/>
            <w:rFonts w:ascii="Arial" w:hAnsi="Arial" w:cs="Arial"/>
            <w:sz w:val="22"/>
            <w:szCs w:val="22"/>
          </w:rPr>
          <w:t>13</w:t>
        </w:r>
      </w:hyperlink>
      <w:r w:rsidRPr="00BD305E">
        <w:rPr>
          <w:rFonts w:ascii="Arial" w:hAnsi="Arial" w:cs="Arial"/>
          <w:sz w:val="22"/>
          <w:szCs w:val="22"/>
        </w:rPr>
        <w:t xml:space="preserve"> and </w:t>
      </w:r>
      <w:hyperlink r:id="rId23" w:history="1">
        <w:r w:rsidRPr="001C6D6A">
          <w:rPr>
            <w:rStyle w:val="Hyperlink"/>
            <w:rFonts w:ascii="Arial" w:hAnsi="Arial" w:cs="Arial"/>
            <w:sz w:val="22"/>
            <w:szCs w:val="22"/>
          </w:rPr>
          <w:t>14</w:t>
        </w:r>
      </w:hyperlink>
      <w:r w:rsidRPr="00BD305E">
        <w:rPr>
          <w:rFonts w:ascii="Arial" w:hAnsi="Arial" w:cs="Arial"/>
          <w:sz w:val="22"/>
          <w:szCs w:val="22"/>
        </w:rPr>
        <w:t xml:space="preserve"> of the </w:t>
      </w:r>
      <w:r w:rsidR="00CE51D3" w:rsidRPr="00BD305E">
        <w:rPr>
          <w:rFonts w:ascii="Arial" w:hAnsi="Arial" w:cs="Arial"/>
          <w:sz w:val="22"/>
          <w:szCs w:val="22"/>
        </w:rPr>
        <w:t xml:space="preserve">UK </w:t>
      </w:r>
      <w:r w:rsidRPr="00BD305E">
        <w:rPr>
          <w:rFonts w:ascii="Arial" w:hAnsi="Arial" w:cs="Arial"/>
          <w:sz w:val="22"/>
          <w:szCs w:val="22"/>
        </w:rPr>
        <w:t xml:space="preserve">GDPR.  </w:t>
      </w:r>
    </w:p>
    <w:p w14:paraId="5FE3CB1A" w14:textId="77777777" w:rsidR="00E23FDB" w:rsidRPr="00BD305E" w:rsidRDefault="00E23FDB" w:rsidP="00E2519D">
      <w:pPr>
        <w:rPr>
          <w:rFonts w:ascii="Arial" w:hAnsi="Arial" w:cs="Arial"/>
          <w:sz w:val="22"/>
          <w:szCs w:val="22"/>
        </w:rPr>
      </w:pPr>
    </w:p>
    <w:p w14:paraId="30EF4181" w14:textId="1F7C139F" w:rsidR="00CE4FF9" w:rsidRPr="00BD305E" w:rsidRDefault="001C6D6A" w:rsidP="00E2519D">
      <w:pPr>
        <w:rPr>
          <w:rFonts w:ascii="Arial" w:hAnsi="Arial" w:cs="Arial"/>
          <w:sz w:val="22"/>
          <w:szCs w:val="22"/>
        </w:rPr>
      </w:pPr>
      <w:r>
        <w:rPr>
          <w:rFonts w:ascii="Arial" w:hAnsi="Arial" w:cs="Arial"/>
          <w:sz w:val="22"/>
          <w:szCs w:val="22"/>
        </w:rPr>
        <w:t>The ICO advise</w:t>
      </w:r>
      <w:r w:rsidR="0093273C">
        <w:rPr>
          <w:rFonts w:ascii="Arial" w:hAnsi="Arial" w:cs="Arial"/>
          <w:sz w:val="22"/>
          <w:szCs w:val="22"/>
        </w:rPr>
        <w:t>s</w:t>
      </w:r>
      <w:r>
        <w:rPr>
          <w:rFonts w:ascii="Arial" w:hAnsi="Arial" w:cs="Arial"/>
          <w:sz w:val="22"/>
          <w:szCs w:val="22"/>
        </w:rPr>
        <w:t xml:space="preserve"> that the right of access is commonly referred to as subject access </w:t>
      </w:r>
      <w:r w:rsidR="002B5A13">
        <w:rPr>
          <w:rFonts w:ascii="Arial" w:hAnsi="Arial" w:cs="Arial"/>
          <w:sz w:val="22"/>
          <w:szCs w:val="22"/>
        </w:rPr>
        <w:t>and gives individuals the right to obtain a copy of their personal data, as well as other supplementary information this organisation holds about them.</w:t>
      </w:r>
    </w:p>
    <w:p w14:paraId="6E846091" w14:textId="73882FE8" w:rsidR="00CC18F3" w:rsidRPr="00BD305E" w:rsidRDefault="00CC18F3" w:rsidP="00CC18F3">
      <w:pPr>
        <w:pStyle w:val="Heading2"/>
        <w:rPr>
          <w:rFonts w:ascii="Arial" w:hAnsi="Arial" w:cs="Arial"/>
          <w:smallCaps w:val="0"/>
          <w:sz w:val="24"/>
          <w:szCs w:val="24"/>
          <w:lang w:val="en-GB"/>
        </w:rPr>
      </w:pPr>
      <w:bookmarkStart w:id="73" w:name="_Toc160544093"/>
      <w:r w:rsidRPr="00BD305E">
        <w:rPr>
          <w:rFonts w:ascii="Arial" w:hAnsi="Arial" w:cs="Arial"/>
          <w:smallCaps w:val="0"/>
          <w:sz w:val="24"/>
          <w:szCs w:val="24"/>
          <w:lang w:val="en-GB"/>
        </w:rPr>
        <w:t>Right to rectification</w:t>
      </w:r>
      <w:bookmarkEnd w:id="73"/>
    </w:p>
    <w:p w14:paraId="4AA2DF20" w14:textId="6556B49A" w:rsidR="00CC18F3" w:rsidRPr="00BD305E" w:rsidRDefault="00CC18F3" w:rsidP="00CC18F3">
      <w:pPr>
        <w:rPr>
          <w:lang w:eastAsia="en-US"/>
        </w:rPr>
      </w:pPr>
    </w:p>
    <w:p w14:paraId="4A5B59F4" w14:textId="760975A7" w:rsidR="00CC18F3" w:rsidRPr="00BD305E" w:rsidRDefault="002B5A13" w:rsidP="00CC18F3">
      <w:pPr>
        <w:rPr>
          <w:rFonts w:ascii="Arial" w:hAnsi="Arial" w:cs="Arial"/>
          <w:sz w:val="22"/>
          <w:szCs w:val="22"/>
          <w:lang w:eastAsia="en-US"/>
        </w:rPr>
      </w:pPr>
      <w:r>
        <w:rPr>
          <w:rFonts w:ascii="Arial" w:hAnsi="Arial" w:cs="Arial"/>
          <w:sz w:val="22"/>
          <w:szCs w:val="22"/>
          <w:lang w:eastAsia="en-US"/>
        </w:rPr>
        <w:t xml:space="preserve">As stated by the </w:t>
      </w:r>
      <w:hyperlink r:id="rId24" w:history="1">
        <w:r w:rsidRPr="002B5A13">
          <w:rPr>
            <w:rStyle w:val="Hyperlink"/>
            <w:rFonts w:ascii="Arial" w:hAnsi="Arial" w:cs="Arial"/>
            <w:sz w:val="22"/>
            <w:szCs w:val="22"/>
            <w:lang w:eastAsia="en-US"/>
          </w:rPr>
          <w:t>ICO</w:t>
        </w:r>
      </w:hyperlink>
      <w:r>
        <w:rPr>
          <w:rFonts w:ascii="Arial" w:hAnsi="Arial" w:cs="Arial"/>
          <w:sz w:val="22"/>
          <w:szCs w:val="22"/>
          <w:lang w:eastAsia="en-US"/>
        </w:rPr>
        <w:t>, under</w:t>
      </w:r>
      <w:r w:rsidR="00CC18F3" w:rsidRPr="00BD305E">
        <w:rPr>
          <w:rFonts w:ascii="Arial" w:hAnsi="Arial" w:cs="Arial"/>
          <w:sz w:val="22"/>
          <w:szCs w:val="22"/>
          <w:lang w:eastAsia="en-US"/>
        </w:rPr>
        <w:t xml:space="preserve"> </w:t>
      </w:r>
      <w:hyperlink r:id="rId25" w:history="1">
        <w:r w:rsidR="00CC18F3" w:rsidRPr="002B5A13">
          <w:rPr>
            <w:rStyle w:val="Hyperlink"/>
            <w:rFonts w:ascii="Arial" w:hAnsi="Arial" w:cs="Arial"/>
            <w:sz w:val="22"/>
            <w:szCs w:val="22"/>
            <w:lang w:eastAsia="en-US"/>
          </w:rPr>
          <w:t>Article 16</w:t>
        </w:r>
      </w:hyperlink>
      <w:r w:rsidR="00CC18F3" w:rsidRPr="00BD305E">
        <w:rPr>
          <w:rFonts w:ascii="Arial" w:hAnsi="Arial" w:cs="Arial"/>
          <w:sz w:val="22"/>
          <w:szCs w:val="22"/>
          <w:lang w:eastAsia="en-US"/>
        </w:rPr>
        <w:t xml:space="preserve"> of the UK GDPR</w:t>
      </w:r>
      <w:r w:rsidR="00256CC4" w:rsidRPr="00BD305E">
        <w:rPr>
          <w:rFonts w:ascii="Arial" w:hAnsi="Arial" w:cs="Arial"/>
          <w:sz w:val="22"/>
          <w:szCs w:val="22"/>
          <w:lang w:eastAsia="en-US"/>
        </w:rPr>
        <w:t>,</w:t>
      </w:r>
      <w:r w:rsidR="00CC18F3" w:rsidRPr="00BD305E">
        <w:rPr>
          <w:rFonts w:ascii="Arial" w:hAnsi="Arial" w:cs="Arial"/>
          <w:sz w:val="22"/>
          <w:szCs w:val="22"/>
          <w:lang w:eastAsia="en-US"/>
        </w:rPr>
        <w:t xml:space="preserve"> data subjects have the right to have inaccurate personal data rectified and/or incomplete personal data completed. At </w:t>
      </w:r>
      <w:r>
        <w:rPr>
          <w:rFonts w:ascii="Arial" w:hAnsi="Arial" w:cs="Arial"/>
          <w:sz w:val="22"/>
          <w:szCs w:val="22"/>
          <w:lang w:eastAsia="en-US"/>
        </w:rPr>
        <w:t>this organisation</w:t>
      </w:r>
      <w:r w:rsidR="0093273C">
        <w:rPr>
          <w:rFonts w:ascii="Arial" w:hAnsi="Arial" w:cs="Arial"/>
          <w:sz w:val="22"/>
          <w:szCs w:val="22"/>
          <w:lang w:eastAsia="en-US"/>
        </w:rPr>
        <w:t>,</w:t>
      </w:r>
      <w:r w:rsidR="00CC18F3" w:rsidRPr="00BD305E">
        <w:rPr>
          <w:rFonts w:ascii="Arial" w:hAnsi="Arial" w:cs="Arial"/>
          <w:sz w:val="22"/>
          <w:szCs w:val="22"/>
          <w:lang w:eastAsia="en-US"/>
        </w:rPr>
        <w:t xml:space="preserve"> should a clinician enter a diagnosis that is later proved incorrect, the medical record should retain both the initial diagnosis and the subsequent accurate diagnosis with text to make it clear that the diagnosis has been updated. </w:t>
      </w:r>
    </w:p>
    <w:p w14:paraId="6A08DF01" w14:textId="71601D46" w:rsidR="00B76523" w:rsidRPr="00BD305E" w:rsidRDefault="00B76523" w:rsidP="00CC18F3">
      <w:pPr>
        <w:rPr>
          <w:rFonts w:ascii="Arial" w:hAnsi="Arial" w:cs="Arial"/>
          <w:sz w:val="22"/>
          <w:szCs w:val="22"/>
          <w:lang w:eastAsia="en-US"/>
        </w:rPr>
      </w:pPr>
    </w:p>
    <w:p w14:paraId="0C1866CE" w14:textId="77777777" w:rsidR="00B76523" w:rsidRPr="00BD305E" w:rsidRDefault="00B76523" w:rsidP="00B76523">
      <w:pPr>
        <w:pStyle w:val="NormalWeb"/>
        <w:shd w:val="clear" w:color="auto" w:fill="FFFFFF"/>
        <w:spacing w:before="0" w:beforeAutospacing="0" w:after="240" w:afterAutospacing="0"/>
        <w:rPr>
          <w:rFonts w:ascii="Arial" w:hAnsi="Arial" w:cs="Arial"/>
          <w:color w:val="000000"/>
          <w:sz w:val="22"/>
          <w:szCs w:val="22"/>
        </w:rPr>
      </w:pPr>
      <w:r w:rsidRPr="00BD305E">
        <w:rPr>
          <w:rFonts w:ascii="Arial" w:hAnsi="Arial" w:cs="Arial"/>
          <w:color w:val="000000"/>
          <w:sz w:val="22"/>
          <w:szCs w:val="22"/>
        </w:rPr>
        <w:t>Patients can exercise their right to challenge the accuracy of their data and request that this is corrected. Should a request be received, the request should state the following:</w:t>
      </w:r>
    </w:p>
    <w:p w14:paraId="1F2CB1EC" w14:textId="77777777" w:rsidR="00B76523" w:rsidRPr="00BD305E" w:rsidRDefault="00B76523" w:rsidP="00B76523">
      <w:pPr>
        <w:pStyle w:val="ListParagraph"/>
        <w:numPr>
          <w:ilvl w:val="0"/>
          <w:numId w:val="30"/>
        </w:numPr>
        <w:shd w:val="clear" w:color="auto" w:fill="FFFFFF"/>
        <w:spacing w:before="100" w:beforeAutospacing="1" w:after="100" w:afterAutospacing="1"/>
        <w:rPr>
          <w:rFonts w:ascii="Arial" w:hAnsi="Arial" w:cs="Arial"/>
          <w:color w:val="000000"/>
        </w:rPr>
      </w:pPr>
      <w:r w:rsidRPr="00BD305E">
        <w:rPr>
          <w:rFonts w:ascii="Arial" w:hAnsi="Arial" w:cs="Arial"/>
          <w:color w:val="000000"/>
        </w:rPr>
        <w:t>What is believed to be inaccurate or incomplete</w:t>
      </w:r>
    </w:p>
    <w:p w14:paraId="10B27059" w14:textId="77777777" w:rsidR="00B76523" w:rsidRPr="00BD305E" w:rsidRDefault="00B76523" w:rsidP="00B76523">
      <w:pPr>
        <w:pStyle w:val="ListParagraph"/>
        <w:numPr>
          <w:ilvl w:val="0"/>
          <w:numId w:val="30"/>
        </w:numPr>
        <w:shd w:val="clear" w:color="auto" w:fill="FFFFFF"/>
        <w:spacing w:before="100" w:beforeAutospacing="1" w:after="100" w:afterAutospacing="1"/>
        <w:rPr>
          <w:rFonts w:ascii="Arial" w:hAnsi="Arial" w:cs="Arial"/>
          <w:color w:val="000000"/>
        </w:rPr>
      </w:pPr>
      <w:r w:rsidRPr="00BD305E">
        <w:rPr>
          <w:rFonts w:ascii="Arial" w:hAnsi="Arial" w:cs="Arial"/>
          <w:color w:val="000000"/>
        </w:rPr>
        <w:t>How this organisation should correct it</w:t>
      </w:r>
    </w:p>
    <w:p w14:paraId="288CAFFE" w14:textId="77777777" w:rsidR="00B76523" w:rsidRPr="00BD305E" w:rsidRDefault="00B76523" w:rsidP="00B76523">
      <w:pPr>
        <w:pStyle w:val="ListParagraph"/>
        <w:numPr>
          <w:ilvl w:val="0"/>
          <w:numId w:val="30"/>
        </w:numPr>
        <w:shd w:val="clear" w:color="auto" w:fill="FFFFFF"/>
        <w:spacing w:before="100" w:beforeAutospacing="1" w:after="100" w:afterAutospacing="1"/>
        <w:rPr>
          <w:rFonts w:ascii="Arial" w:hAnsi="Arial" w:cs="Arial"/>
          <w:color w:val="000000"/>
        </w:rPr>
      </w:pPr>
      <w:r w:rsidRPr="00BD305E">
        <w:rPr>
          <w:rFonts w:ascii="Arial" w:hAnsi="Arial" w:cs="Arial"/>
          <w:color w:val="000000"/>
        </w:rPr>
        <w:t>If able to, provide evidence of the inaccuracies</w:t>
      </w:r>
    </w:p>
    <w:p w14:paraId="2AC758B1" w14:textId="4A3D60FC" w:rsidR="00B76523" w:rsidRPr="00BD305E" w:rsidRDefault="00B76523" w:rsidP="00B76523">
      <w:pPr>
        <w:pStyle w:val="NormalWeb"/>
        <w:shd w:val="clear" w:color="auto" w:fill="FFFFFF"/>
        <w:spacing w:before="0" w:beforeAutospacing="0" w:after="240" w:afterAutospacing="0"/>
        <w:rPr>
          <w:rFonts w:ascii="Arial" w:hAnsi="Arial" w:cs="Arial"/>
          <w:color w:val="000000"/>
          <w:sz w:val="22"/>
          <w:szCs w:val="22"/>
        </w:rPr>
      </w:pPr>
      <w:r w:rsidRPr="00BD305E">
        <w:rPr>
          <w:rFonts w:ascii="Arial" w:hAnsi="Arial" w:cs="Arial"/>
          <w:color w:val="000000"/>
          <w:sz w:val="22"/>
          <w:szCs w:val="22"/>
        </w:rPr>
        <w:t xml:space="preserve">Detailed guidance from the ICO can be accessed </w:t>
      </w:r>
      <w:hyperlink r:id="rId26" w:history="1">
        <w:r w:rsidRPr="00BD305E">
          <w:rPr>
            <w:rStyle w:val="Hyperlink"/>
            <w:rFonts w:ascii="Arial" w:hAnsi="Arial" w:cs="Arial"/>
            <w:sz w:val="22"/>
            <w:szCs w:val="22"/>
          </w:rPr>
          <w:t>here</w:t>
        </w:r>
      </w:hyperlink>
      <w:r w:rsidRPr="00BD305E">
        <w:rPr>
          <w:rFonts w:ascii="Arial" w:hAnsi="Arial" w:cs="Arial"/>
          <w:color w:val="000000"/>
          <w:sz w:val="22"/>
          <w:szCs w:val="22"/>
        </w:rPr>
        <w:t>.</w:t>
      </w:r>
    </w:p>
    <w:p w14:paraId="087A07FF" w14:textId="6749D00D" w:rsidR="00CC18F3" w:rsidRPr="00BD305E" w:rsidRDefault="00CC18F3" w:rsidP="00CC18F3">
      <w:pPr>
        <w:pStyle w:val="Heading2"/>
        <w:rPr>
          <w:rFonts w:ascii="Arial" w:hAnsi="Arial" w:cs="Arial"/>
          <w:smallCaps w:val="0"/>
          <w:sz w:val="24"/>
          <w:szCs w:val="24"/>
          <w:lang w:val="en-GB"/>
        </w:rPr>
      </w:pPr>
      <w:bookmarkStart w:id="74" w:name="_Toc160544094"/>
      <w:r w:rsidRPr="00BD305E">
        <w:rPr>
          <w:rFonts w:ascii="Arial" w:hAnsi="Arial" w:cs="Arial"/>
          <w:smallCaps w:val="0"/>
          <w:sz w:val="24"/>
          <w:szCs w:val="24"/>
          <w:lang w:val="en-GB"/>
        </w:rPr>
        <w:t>Right to erasure</w:t>
      </w:r>
      <w:bookmarkEnd w:id="74"/>
    </w:p>
    <w:p w14:paraId="51471A15" w14:textId="77777777" w:rsidR="00CC18F3" w:rsidRPr="00BD305E" w:rsidRDefault="00CC18F3" w:rsidP="00CC18F3">
      <w:pPr>
        <w:rPr>
          <w:rFonts w:ascii="Arial" w:hAnsi="Arial" w:cs="Arial"/>
          <w:sz w:val="22"/>
          <w:szCs w:val="22"/>
          <w:lang w:eastAsia="en-US"/>
        </w:rPr>
      </w:pPr>
    </w:p>
    <w:p w14:paraId="3C8E888E" w14:textId="074F1221" w:rsidR="00CC18F3" w:rsidRPr="00BD305E" w:rsidRDefault="002B5A13" w:rsidP="00CC18F3">
      <w:pPr>
        <w:rPr>
          <w:rFonts w:ascii="Arial" w:hAnsi="Arial" w:cs="Arial"/>
          <w:sz w:val="22"/>
          <w:szCs w:val="22"/>
          <w:lang w:eastAsia="en-US"/>
        </w:rPr>
      </w:pPr>
      <w:r>
        <w:rPr>
          <w:rFonts w:ascii="Arial" w:hAnsi="Arial" w:cs="Arial"/>
          <w:sz w:val="22"/>
          <w:szCs w:val="22"/>
          <w:lang w:eastAsia="en-US"/>
        </w:rPr>
        <w:t xml:space="preserve">The </w:t>
      </w:r>
      <w:hyperlink r:id="rId27" w:history="1">
        <w:r w:rsidRPr="002B5A13">
          <w:rPr>
            <w:rStyle w:val="Hyperlink"/>
            <w:rFonts w:ascii="Arial" w:hAnsi="Arial" w:cs="Arial"/>
            <w:sz w:val="22"/>
            <w:szCs w:val="22"/>
            <w:lang w:eastAsia="en-US"/>
          </w:rPr>
          <w:t>ICO</w:t>
        </w:r>
      </w:hyperlink>
      <w:r>
        <w:rPr>
          <w:rFonts w:ascii="Arial" w:hAnsi="Arial" w:cs="Arial"/>
          <w:sz w:val="22"/>
          <w:szCs w:val="22"/>
          <w:lang w:eastAsia="en-US"/>
        </w:rPr>
        <w:t xml:space="preserve"> explain</w:t>
      </w:r>
      <w:r w:rsidR="0093273C">
        <w:rPr>
          <w:rFonts w:ascii="Arial" w:hAnsi="Arial" w:cs="Arial"/>
          <w:sz w:val="22"/>
          <w:szCs w:val="22"/>
          <w:lang w:eastAsia="en-US"/>
        </w:rPr>
        <w:t>s</w:t>
      </w:r>
      <w:r>
        <w:rPr>
          <w:rFonts w:ascii="Arial" w:hAnsi="Arial" w:cs="Arial"/>
          <w:sz w:val="22"/>
          <w:szCs w:val="22"/>
          <w:lang w:eastAsia="en-US"/>
        </w:rPr>
        <w:t xml:space="preserve"> that</w:t>
      </w:r>
      <w:r w:rsidR="0093273C">
        <w:rPr>
          <w:rFonts w:ascii="Arial" w:hAnsi="Arial" w:cs="Arial"/>
          <w:sz w:val="22"/>
          <w:szCs w:val="22"/>
          <w:lang w:eastAsia="en-US"/>
        </w:rPr>
        <w:t>,</w:t>
      </w:r>
      <w:r>
        <w:rPr>
          <w:rFonts w:ascii="Arial" w:hAnsi="Arial" w:cs="Arial"/>
          <w:sz w:val="22"/>
          <w:szCs w:val="22"/>
          <w:lang w:eastAsia="en-US"/>
        </w:rPr>
        <w:t xml:space="preserve"> i</w:t>
      </w:r>
      <w:r w:rsidR="00CC18F3" w:rsidRPr="00BD305E">
        <w:rPr>
          <w:rFonts w:ascii="Arial" w:hAnsi="Arial" w:cs="Arial"/>
          <w:sz w:val="22"/>
          <w:szCs w:val="22"/>
          <w:lang w:eastAsia="en-US"/>
        </w:rPr>
        <w:t xml:space="preserve">n accordance with </w:t>
      </w:r>
      <w:hyperlink r:id="rId28" w:history="1">
        <w:r w:rsidR="00CC18F3" w:rsidRPr="00614057">
          <w:rPr>
            <w:rStyle w:val="Hyperlink"/>
            <w:rFonts w:ascii="Arial" w:hAnsi="Arial" w:cs="Arial"/>
            <w:sz w:val="22"/>
            <w:szCs w:val="22"/>
            <w:lang w:eastAsia="en-US"/>
          </w:rPr>
          <w:t>Article 17</w:t>
        </w:r>
      </w:hyperlink>
      <w:r w:rsidR="00CC18F3" w:rsidRPr="00BD305E">
        <w:rPr>
          <w:rFonts w:ascii="Arial" w:hAnsi="Arial" w:cs="Arial"/>
          <w:sz w:val="22"/>
          <w:szCs w:val="22"/>
          <w:lang w:eastAsia="en-US"/>
        </w:rPr>
        <w:t xml:space="preserve"> of the UK GDPR, data subjects have the right to have personal data erased (this is also </w:t>
      </w:r>
      <w:r>
        <w:rPr>
          <w:rFonts w:ascii="Arial" w:hAnsi="Arial" w:cs="Arial"/>
          <w:sz w:val="22"/>
          <w:szCs w:val="22"/>
          <w:lang w:eastAsia="en-US"/>
        </w:rPr>
        <w:t>known</w:t>
      </w:r>
      <w:r w:rsidR="00CC18F3" w:rsidRPr="00BD305E">
        <w:rPr>
          <w:rFonts w:ascii="Arial" w:hAnsi="Arial" w:cs="Arial"/>
          <w:sz w:val="22"/>
          <w:szCs w:val="22"/>
          <w:lang w:eastAsia="en-US"/>
        </w:rPr>
        <w:t xml:space="preserve"> as the right to be forgotten). </w:t>
      </w:r>
      <w:r w:rsidR="00B66ACC" w:rsidRPr="00BD305E">
        <w:rPr>
          <w:rFonts w:ascii="Arial" w:hAnsi="Arial" w:cs="Arial"/>
          <w:sz w:val="22"/>
          <w:szCs w:val="22"/>
          <w:lang w:eastAsia="en-US"/>
        </w:rPr>
        <w:t xml:space="preserve">This right permits a data subject to request </w:t>
      </w:r>
      <w:r w:rsidR="0093273C">
        <w:rPr>
          <w:rFonts w:ascii="Arial" w:hAnsi="Arial" w:cs="Arial"/>
          <w:sz w:val="22"/>
          <w:szCs w:val="22"/>
          <w:lang w:eastAsia="en-US"/>
        </w:rPr>
        <w:t xml:space="preserve">that </w:t>
      </w:r>
      <w:r w:rsidR="00B66ACC" w:rsidRPr="00BD305E">
        <w:rPr>
          <w:rFonts w:ascii="Arial" w:hAnsi="Arial" w:cs="Arial"/>
          <w:sz w:val="22"/>
          <w:szCs w:val="22"/>
          <w:lang w:eastAsia="en-US"/>
        </w:rPr>
        <w:t>personal data is deleted in situations whe</w:t>
      </w:r>
      <w:r w:rsidR="0093273C">
        <w:rPr>
          <w:rFonts w:ascii="Arial" w:hAnsi="Arial" w:cs="Arial"/>
          <w:sz w:val="22"/>
          <w:szCs w:val="22"/>
          <w:lang w:eastAsia="en-US"/>
        </w:rPr>
        <w:t>n</w:t>
      </w:r>
      <w:r w:rsidR="00B66ACC" w:rsidRPr="00BD305E">
        <w:rPr>
          <w:rFonts w:ascii="Arial" w:hAnsi="Arial" w:cs="Arial"/>
          <w:sz w:val="22"/>
          <w:szCs w:val="22"/>
          <w:lang w:eastAsia="en-US"/>
        </w:rPr>
        <w:t xml:space="preserve"> there is </w:t>
      </w:r>
      <w:r w:rsidR="00761A21" w:rsidRPr="00BD305E">
        <w:rPr>
          <w:rFonts w:ascii="Arial" w:hAnsi="Arial" w:cs="Arial"/>
          <w:sz w:val="22"/>
          <w:szCs w:val="22"/>
          <w:lang w:eastAsia="en-US"/>
        </w:rPr>
        <w:t>no</w:t>
      </w:r>
      <w:r w:rsidR="00B66ACC" w:rsidRPr="00BD305E">
        <w:rPr>
          <w:rFonts w:ascii="Arial" w:hAnsi="Arial" w:cs="Arial"/>
          <w:sz w:val="22"/>
          <w:szCs w:val="22"/>
          <w:lang w:eastAsia="en-US"/>
        </w:rPr>
        <w:t xml:space="preserve"> compelling reason to retain the data.</w:t>
      </w:r>
      <w:r>
        <w:rPr>
          <w:rFonts w:ascii="Arial" w:hAnsi="Arial" w:cs="Arial"/>
          <w:sz w:val="22"/>
          <w:szCs w:val="22"/>
          <w:lang w:eastAsia="en-US"/>
        </w:rPr>
        <w:t xml:space="preserve"> The right is not absolute and only applies in certain circumstances.</w:t>
      </w:r>
    </w:p>
    <w:p w14:paraId="290710E9" w14:textId="0F207D56" w:rsidR="00B66ACC" w:rsidRPr="00BD305E" w:rsidRDefault="00B66ACC" w:rsidP="00CC18F3">
      <w:pPr>
        <w:rPr>
          <w:rFonts w:ascii="Arial" w:hAnsi="Arial" w:cs="Arial"/>
          <w:sz w:val="22"/>
          <w:szCs w:val="22"/>
          <w:lang w:eastAsia="en-US"/>
        </w:rPr>
      </w:pPr>
    </w:p>
    <w:p w14:paraId="28557846" w14:textId="3BA4745F" w:rsidR="00B76523" w:rsidRPr="00BD305E" w:rsidRDefault="002B5A13" w:rsidP="00B66ACC">
      <w:pPr>
        <w:rPr>
          <w:rFonts w:ascii="Arial" w:hAnsi="Arial" w:cs="Arial"/>
          <w:sz w:val="22"/>
          <w:szCs w:val="22"/>
          <w:shd w:val="clear" w:color="auto" w:fill="FFFFFF"/>
        </w:rPr>
      </w:pPr>
      <w:r>
        <w:rPr>
          <w:rFonts w:ascii="Arial" w:hAnsi="Arial" w:cs="Arial"/>
          <w:sz w:val="22"/>
          <w:szCs w:val="22"/>
          <w:lang w:eastAsia="en-US"/>
        </w:rPr>
        <w:t xml:space="preserve">Detailed information can be found at section 4.11 of the </w:t>
      </w:r>
      <w:hyperlink r:id="rId29" w:history="1">
        <w:r w:rsidRPr="002B5A13">
          <w:rPr>
            <w:rStyle w:val="Hyperlink"/>
            <w:rFonts w:ascii="Arial" w:hAnsi="Arial" w:cs="Arial"/>
            <w:sz w:val="22"/>
            <w:szCs w:val="22"/>
            <w:lang w:eastAsia="en-US"/>
          </w:rPr>
          <w:t>BMA Acce</w:t>
        </w:r>
        <w:r w:rsidRPr="002B5A13">
          <w:rPr>
            <w:rStyle w:val="Hyperlink"/>
            <w:rFonts w:ascii="Arial" w:hAnsi="Arial" w:cs="Arial"/>
            <w:sz w:val="22"/>
            <w:szCs w:val="22"/>
            <w:lang w:eastAsia="en-US"/>
          </w:rPr>
          <w:t>s</w:t>
        </w:r>
        <w:r w:rsidRPr="002B5A13">
          <w:rPr>
            <w:rStyle w:val="Hyperlink"/>
            <w:rFonts w:ascii="Arial" w:hAnsi="Arial" w:cs="Arial"/>
            <w:sz w:val="22"/>
            <w:szCs w:val="22"/>
            <w:lang w:eastAsia="en-US"/>
          </w:rPr>
          <w:t>s to health records guidance</w:t>
        </w:r>
      </w:hyperlink>
      <w:r>
        <w:rPr>
          <w:rFonts w:ascii="Arial" w:hAnsi="Arial" w:cs="Arial"/>
          <w:sz w:val="22"/>
          <w:szCs w:val="22"/>
          <w:lang w:eastAsia="en-US"/>
        </w:rPr>
        <w:t>.</w:t>
      </w:r>
    </w:p>
    <w:p w14:paraId="0968415F" w14:textId="77777777" w:rsidR="00453DA5" w:rsidRPr="00BD305E" w:rsidRDefault="00453DA5" w:rsidP="00B66ACC">
      <w:pPr>
        <w:rPr>
          <w:rFonts w:ascii="Arial" w:hAnsi="Arial" w:cs="Arial"/>
          <w:color w:val="313537"/>
          <w:sz w:val="22"/>
          <w:szCs w:val="22"/>
          <w:shd w:val="clear" w:color="auto" w:fill="FFFFFF"/>
        </w:rPr>
      </w:pPr>
    </w:p>
    <w:p w14:paraId="36C1CDF2" w14:textId="393A7DF4" w:rsidR="00B76523" w:rsidRPr="00BD305E" w:rsidRDefault="00B76523" w:rsidP="00B76523">
      <w:pPr>
        <w:rPr>
          <w:rFonts w:ascii="Arial" w:hAnsi="Arial" w:cs="Arial"/>
          <w:sz w:val="22"/>
          <w:szCs w:val="22"/>
        </w:rPr>
      </w:pPr>
      <w:r w:rsidRPr="00BD305E">
        <w:rPr>
          <w:rFonts w:ascii="Arial" w:hAnsi="Arial" w:cs="Arial"/>
          <w:sz w:val="22"/>
          <w:szCs w:val="22"/>
        </w:rPr>
        <w:t>Whe</w:t>
      </w:r>
      <w:r w:rsidR="0093273C">
        <w:rPr>
          <w:rFonts w:ascii="Arial" w:hAnsi="Arial" w:cs="Arial"/>
          <w:sz w:val="22"/>
          <w:szCs w:val="22"/>
        </w:rPr>
        <w:t>n</w:t>
      </w:r>
      <w:r w:rsidRPr="00BD305E">
        <w:rPr>
          <w:rFonts w:ascii="Arial" w:hAnsi="Arial" w:cs="Arial"/>
          <w:sz w:val="22"/>
          <w:szCs w:val="22"/>
        </w:rPr>
        <w:t xml:space="preserve"> </w:t>
      </w:r>
      <w:r w:rsidR="002B5A13">
        <w:rPr>
          <w:rFonts w:ascii="Arial" w:hAnsi="Arial" w:cs="Arial"/>
          <w:sz w:val="22"/>
          <w:szCs w:val="22"/>
        </w:rPr>
        <w:t xml:space="preserve">this organisation </w:t>
      </w:r>
      <w:r w:rsidRPr="00BD305E">
        <w:rPr>
          <w:rFonts w:ascii="Arial" w:hAnsi="Arial" w:cs="Arial"/>
          <w:sz w:val="22"/>
          <w:szCs w:val="22"/>
        </w:rPr>
        <w:t>has shared information with a third party, there is an obligation to inform the third party about the data subject’s request to erase their data providing it is achievable and reasonably practical to do so.</w:t>
      </w:r>
    </w:p>
    <w:p w14:paraId="317A6EC9" w14:textId="79E7CD04" w:rsidR="00B66ACC" w:rsidRPr="00BD305E" w:rsidRDefault="00B66ACC" w:rsidP="00B66ACC">
      <w:pPr>
        <w:pStyle w:val="Heading2"/>
        <w:rPr>
          <w:rFonts w:ascii="Arial" w:hAnsi="Arial" w:cs="Arial"/>
          <w:smallCaps w:val="0"/>
          <w:sz w:val="24"/>
          <w:szCs w:val="24"/>
          <w:lang w:val="en-GB"/>
        </w:rPr>
      </w:pPr>
      <w:bookmarkStart w:id="75" w:name="_Toc160544095"/>
      <w:r w:rsidRPr="00BD305E">
        <w:rPr>
          <w:rFonts w:ascii="Arial" w:hAnsi="Arial" w:cs="Arial"/>
          <w:smallCaps w:val="0"/>
          <w:sz w:val="24"/>
          <w:szCs w:val="24"/>
          <w:lang w:val="en-GB"/>
        </w:rPr>
        <w:lastRenderedPageBreak/>
        <w:t>Right to restrict processing</w:t>
      </w:r>
      <w:bookmarkEnd w:id="75"/>
    </w:p>
    <w:p w14:paraId="48D3577B" w14:textId="1223F0E5" w:rsidR="00256CC4" w:rsidRPr="00BD305E" w:rsidRDefault="00EF5355" w:rsidP="005536AA">
      <w:pPr>
        <w:pStyle w:val="NormalWeb"/>
        <w:textAlignment w:val="baseline"/>
        <w:rPr>
          <w:rFonts w:ascii="Arial" w:hAnsi="Arial" w:cs="Arial"/>
          <w:sz w:val="22"/>
          <w:szCs w:val="22"/>
        </w:rPr>
      </w:pPr>
      <w:r>
        <w:rPr>
          <w:rFonts w:ascii="Arial" w:hAnsi="Arial" w:cs="Arial"/>
          <w:sz w:val="22"/>
          <w:szCs w:val="22"/>
        </w:rPr>
        <w:t xml:space="preserve">The </w:t>
      </w:r>
      <w:hyperlink r:id="rId30" w:history="1">
        <w:r w:rsidRPr="00EF5355">
          <w:rPr>
            <w:rStyle w:val="Hyperlink"/>
            <w:rFonts w:ascii="Arial" w:hAnsi="Arial" w:cs="Arial"/>
            <w:sz w:val="22"/>
            <w:szCs w:val="22"/>
          </w:rPr>
          <w:t>ICO</w:t>
        </w:r>
      </w:hyperlink>
      <w:r>
        <w:rPr>
          <w:rFonts w:ascii="Arial" w:hAnsi="Arial" w:cs="Arial"/>
          <w:sz w:val="22"/>
          <w:szCs w:val="22"/>
        </w:rPr>
        <w:t xml:space="preserve"> state</w:t>
      </w:r>
      <w:r w:rsidR="0093273C">
        <w:rPr>
          <w:rFonts w:ascii="Arial" w:hAnsi="Arial" w:cs="Arial"/>
          <w:sz w:val="22"/>
          <w:szCs w:val="22"/>
        </w:rPr>
        <w:t>s</w:t>
      </w:r>
      <w:r>
        <w:rPr>
          <w:rFonts w:ascii="Arial" w:hAnsi="Arial" w:cs="Arial"/>
          <w:sz w:val="22"/>
          <w:szCs w:val="22"/>
        </w:rPr>
        <w:t xml:space="preserve"> that</w:t>
      </w:r>
      <w:r w:rsidR="00B66ACC" w:rsidRPr="00BD305E">
        <w:rPr>
          <w:rFonts w:ascii="Arial" w:hAnsi="Arial" w:cs="Arial"/>
          <w:sz w:val="22"/>
          <w:szCs w:val="22"/>
        </w:rPr>
        <w:t xml:space="preserve"> </w:t>
      </w:r>
      <w:hyperlink r:id="rId31" w:history="1">
        <w:r w:rsidR="00B66ACC" w:rsidRPr="00614057">
          <w:rPr>
            <w:rStyle w:val="Hyperlink"/>
            <w:rFonts w:ascii="Arial" w:hAnsi="Arial" w:cs="Arial"/>
            <w:sz w:val="22"/>
            <w:szCs w:val="22"/>
          </w:rPr>
          <w:t>Article 18</w:t>
        </w:r>
      </w:hyperlink>
      <w:r w:rsidR="00B66ACC" w:rsidRPr="00BD305E">
        <w:rPr>
          <w:rFonts w:ascii="Arial" w:hAnsi="Arial" w:cs="Arial"/>
          <w:sz w:val="22"/>
          <w:szCs w:val="22"/>
        </w:rPr>
        <w:t xml:space="preserve"> of the UK GDPR</w:t>
      </w:r>
      <w:r>
        <w:rPr>
          <w:rFonts w:ascii="Arial" w:hAnsi="Arial" w:cs="Arial"/>
          <w:sz w:val="22"/>
          <w:szCs w:val="22"/>
        </w:rPr>
        <w:t xml:space="preserve"> gives </w:t>
      </w:r>
      <w:r w:rsidR="00B66ACC" w:rsidRPr="00BD305E">
        <w:rPr>
          <w:rFonts w:ascii="Arial" w:hAnsi="Arial" w:cs="Arial"/>
          <w:sz w:val="22"/>
          <w:szCs w:val="22"/>
        </w:rPr>
        <w:t xml:space="preserve">individuals the right to restrict the processing of their personal data. This applies in certain circumstances, with the aim being to enable the individual to limit the way </w:t>
      </w:r>
      <w:r>
        <w:rPr>
          <w:rFonts w:ascii="Arial" w:hAnsi="Arial" w:cs="Arial"/>
          <w:sz w:val="22"/>
          <w:szCs w:val="22"/>
        </w:rPr>
        <w:t>this</w:t>
      </w:r>
      <w:r w:rsidR="00B66ACC" w:rsidRPr="00BD305E">
        <w:rPr>
          <w:rFonts w:ascii="Arial" w:hAnsi="Arial" w:cs="Arial"/>
          <w:sz w:val="22"/>
          <w:szCs w:val="22"/>
        </w:rPr>
        <w:t xml:space="preserve"> organisation processes (uses) their data. This right can be used as an alternative to the right to erasure. </w:t>
      </w:r>
    </w:p>
    <w:p w14:paraId="7BA54B9A" w14:textId="7BA30387" w:rsidR="00B66ACC" w:rsidRPr="00BD305E" w:rsidRDefault="00B66ACC" w:rsidP="00B66ACC">
      <w:pPr>
        <w:pStyle w:val="Heading2"/>
        <w:rPr>
          <w:rFonts w:ascii="Arial" w:hAnsi="Arial" w:cs="Arial"/>
          <w:smallCaps w:val="0"/>
          <w:sz w:val="24"/>
          <w:szCs w:val="24"/>
          <w:lang w:val="en-GB"/>
        </w:rPr>
      </w:pPr>
      <w:bookmarkStart w:id="76" w:name="_Toc160544096"/>
      <w:r w:rsidRPr="00BD305E">
        <w:rPr>
          <w:rFonts w:ascii="Arial" w:hAnsi="Arial" w:cs="Arial"/>
          <w:smallCaps w:val="0"/>
          <w:sz w:val="24"/>
          <w:szCs w:val="24"/>
          <w:lang w:val="en-GB"/>
        </w:rPr>
        <w:t>Right to data portability</w:t>
      </w:r>
      <w:bookmarkEnd w:id="76"/>
    </w:p>
    <w:p w14:paraId="3EC6D88E" w14:textId="37CB3C98" w:rsidR="00B66ACC" w:rsidRPr="00BD305E" w:rsidRDefault="00B66ACC" w:rsidP="00E2519D">
      <w:pPr>
        <w:rPr>
          <w:rFonts w:ascii="Arial" w:hAnsi="Arial" w:cs="Arial"/>
          <w:sz w:val="22"/>
          <w:szCs w:val="22"/>
        </w:rPr>
      </w:pPr>
    </w:p>
    <w:p w14:paraId="1573D98D" w14:textId="07DD3D4A" w:rsidR="00B66ACC" w:rsidRDefault="00B66ACC" w:rsidP="00E2519D">
      <w:pPr>
        <w:rPr>
          <w:rFonts w:ascii="Arial" w:hAnsi="Arial" w:cs="Arial"/>
          <w:sz w:val="22"/>
          <w:szCs w:val="22"/>
        </w:rPr>
      </w:pPr>
      <w:r w:rsidRPr="00BD305E">
        <w:rPr>
          <w:rFonts w:ascii="Arial" w:hAnsi="Arial" w:cs="Arial"/>
          <w:sz w:val="22"/>
          <w:szCs w:val="22"/>
        </w:rPr>
        <w:t>The</w:t>
      </w:r>
      <w:r w:rsidR="00EF5355">
        <w:rPr>
          <w:rFonts w:ascii="Arial" w:hAnsi="Arial" w:cs="Arial"/>
          <w:sz w:val="22"/>
          <w:szCs w:val="22"/>
        </w:rPr>
        <w:t xml:space="preserve"> </w:t>
      </w:r>
      <w:hyperlink r:id="rId32" w:history="1">
        <w:r w:rsidR="00EF5355" w:rsidRPr="00EF5355">
          <w:rPr>
            <w:rStyle w:val="Hyperlink"/>
            <w:rFonts w:ascii="Arial" w:hAnsi="Arial" w:cs="Arial"/>
            <w:sz w:val="22"/>
            <w:szCs w:val="22"/>
          </w:rPr>
          <w:t>ICO</w:t>
        </w:r>
      </w:hyperlink>
      <w:r w:rsidR="00EF5355">
        <w:rPr>
          <w:rFonts w:ascii="Arial" w:hAnsi="Arial" w:cs="Arial"/>
          <w:sz w:val="22"/>
          <w:szCs w:val="22"/>
        </w:rPr>
        <w:t xml:space="preserve"> explain</w:t>
      </w:r>
      <w:r w:rsidR="0093273C">
        <w:rPr>
          <w:rFonts w:ascii="Arial" w:hAnsi="Arial" w:cs="Arial"/>
          <w:sz w:val="22"/>
          <w:szCs w:val="22"/>
        </w:rPr>
        <w:t>s</w:t>
      </w:r>
      <w:r w:rsidR="00EF5355">
        <w:rPr>
          <w:rFonts w:ascii="Arial" w:hAnsi="Arial" w:cs="Arial"/>
          <w:sz w:val="22"/>
          <w:szCs w:val="22"/>
        </w:rPr>
        <w:t xml:space="preserve"> the</w:t>
      </w:r>
      <w:r w:rsidRPr="00BD305E">
        <w:rPr>
          <w:rFonts w:ascii="Arial" w:hAnsi="Arial" w:cs="Arial"/>
          <w:sz w:val="22"/>
          <w:szCs w:val="22"/>
        </w:rPr>
        <w:t xml:space="preserve"> right to data portability permits data subjects to receive and reuse their personal data for their own purposes and across different services.</w:t>
      </w:r>
    </w:p>
    <w:p w14:paraId="7E9BB78F" w14:textId="77777777" w:rsidR="0093273C" w:rsidRPr="00BD305E" w:rsidRDefault="0093273C" w:rsidP="00E2519D">
      <w:pPr>
        <w:rPr>
          <w:rFonts w:ascii="Arial" w:hAnsi="Arial" w:cs="Arial"/>
          <w:sz w:val="22"/>
          <w:szCs w:val="22"/>
        </w:rPr>
      </w:pPr>
    </w:p>
    <w:p w14:paraId="1397A83B" w14:textId="701228DF" w:rsidR="00B66ACC" w:rsidRPr="00BD305E" w:rsidRDefault="00B66ACC" w:rsidP="00B66ACC">
      <w:pPr>
        <w:pStyle w:val="Heading2"/>
        <w:rPr>
          <w:rFonts w:ascii="Arial" w:hAnsi="Arial" w:cs="Arial"/>
          <w:smallCaps w:val="0"/>
          <w:sz w:val="24"/>
          <w:szCs w:val="24"/>
          <w:lang w:val="en-GB"/>
        </w:rPr>
      </w:pPr>
      <w:r w:rsidRPr="00BD305E">
        <w:rPr>
          <w:rFonts w:ascii="Arial" w:hAnsi="Arial" w:cs="Arial"/>
          <w:sz w:val="22"/>
          <w:szCs w:val="22"/>
          <w:lang w:val="en-GB"/>
        </w:rPr>
        <w:t xml:space="preserve"> </w:t>
      </w:r>
      <w:bookmarkStart w:id="77" w:name="_Toc160544097"/>
      <w:r w:rsidRPr="00BD305E">
        <w:rPr>
          <w:rFonts w:ascii="Arial" w:hAnsi="Arial" w:cs="Arial"/>
          <w:smallCaps w:val="0"/>
          <w:sz w:val="24"/>
          <w:szCs w:val="24"/>
          <w:lang w:val="en-GB"/>
        </w:rPr>
        <w:t>Right to object</w:t>
      </w:r>
      <w:bookmarkEnd w:id="77"/>
    </w:p>
    <w:p w14:paraId="0AE05216" w14:textId="03B6E163" w:rsidR="00B66ACC" w:rsidRPr="00BD305E" w:rsidRDefault="00B66ACC" w:rsidP="00E2519D">
      <w:pPr>
        <w:rPr>
          <w:rFonts w:ascii="Arial" w:hAnsi="Arial" w:cs="Arial"/>
          <w:sz w:val="22"/>
          <w:szCs w:val="22"/>
        </w:rPr>
      </w:pPr>
    </w:p>
    <w:p w14:paraId="4F89688F" w14:textId="5DF511DE" w:rsidR="000850EB" w:rsidRPr="00BD305E" w:rsidRDefault="00EF5355" w:rsidP="00E2519D">
      <w:pPr>
        <w:rPr>
          <w:rFonts w:ascii="Arial" w:hAnsi="Arial" w:cs="Arial"/>
          <w:sz w:val="22"/>
          <w:szCs w:val="22"/>
        </w:rPr>
      </w:pPr>
      <w:r>
        <w:rPr>
          <w:rFonts w:ascii="Arial" w:hAnsi="Arial" w:cs="Arial"/>
          <w:sz w:val="22"/>
          <w:szCs w:val="22"/>
        </w:rPr>
        <w:t xml:space="preserve">The </w:t>
      </w:r>
      <w:hyperlink r:id="rId33" w:history="1">
        <w:r w:rsidRPr="00EF5355">
          <w:rPr>
            <w:rStyle w:val="Hyperlink"/>
            <w:rFonts w:ascii="Arial" w:hAnsi="Arial" w:cs="Arial"/>
            <w:sz w:val="22"/>
            <w:szCs w:val="22"/>
          </w:rPr>
          <w:t>ICO</w:t>
        </w:r>
      </w:hyperlink>
      <w:r>
        <w:rPr>
          <w:rFonts w:ascii="Arial" w:hAnsi="Arial" w:cs="Arial"/>
          <w:sz w:val="22"/>
          <w:szCs w:val="22"/>
        </w:rPr>
        <w:t xml:space="preserve"> advise</w:t>
      </w:r>
      <w:r w:rsidR="0093273C">
        <w:rPr>
          <w:rFonts w:ascii="Arial" w:hAnsi="Arial" w:cs="Arial"/>
          <w:sz w:val="22"/>
          <w:szCs w:val="22"/>
        </w:rPr>
        <w:t>s</w:t>
      </w:r>
      <w:r>
        <w:rPr>
          <w:rFonts w:ascii="Arial" w:hAnsi="Arial" w:cs="Arial"/>
          <w:sz w:val="22"/>
          <w:szCs w:val="22"/>
        </w:rPr>
        <w:t xml:space="preserve"> that</w:t>
      </w:r>
      <w:r w:rsidR="0093273C">
        <w:rPr>
          <w:rFonts w:ascii="Arial" w:hAnsi="Arial" w:cs="Arial"/>
          <w:sz w:val="22"/>
          <w:szCs w:val="22"/>
        </w:rPr>
        <w:t>, i</w:t>
      </w:r>
      <w:r w:rsidR="00B66ACC" w:rsidRPr="00BD305E">
        <w:rPr>
          <w:rFonts w:ascii="Arial" w:hAnsi="Arial" w:cs="Arial"/>
          <w:sz w:val="22"/>
          <w:szCs w:val="22"/>
        </w:rPr>
        <w:t xml:space="preserve">n accordance with </w:t>
      </w:r>
      <w:hyperlink r:id="rId34" w:history="1">
        <w:r w:rsidR="00B66ACC" w:rsidRPr="00EF5355">
          <w:rPr>
            <w:rStyle w:val="Hyperlink"/>
            <w:rFonts w:ascii="Arial" w:hAnsi="Arial" w:cs="Arial"/>
            <w:sz w:val="22"/>
            <w:szCs w:val="22"/>
          </w:rPr>
          <w:t>Article 21</w:t>
        </w:r>
      </w:hyperlink>
      <w:r w:rsidR="00B66ACC" w:rsidRPr="00BD305E">
        <w:rPr>
          <w:rFonts w:ascii="Arial" w:hAnsi="Arial" w:cs="Arial"/>
          <w:sz w:val="22"/>
          <w:szCs w:val="22"/>
        </w:rPr>
        <w:t xml:space="preserve"> of the UK GDPR, individuals have the right to object to the processing of their personal data at any time. At </w:t>
      </w:r>
      <w:r>
        <w:rPr>
          <w:rFonts w:ascii="Arial" w:hAnsi="Arial" w:cs="Arial"/>
          <w:sz w:val="22"/>
          <w:szCs w:val="22"/>
        </w:rPr>
        <w:t>this organisation,</w:t>
      </w:r>
      <w:r w:rsidR="00B66ACC" w:rsidRPr="00BD305E">
        <w:rPr>
          <w:rFonts w:ascii="Arial" w:hAnsi="Arial" w:cs="Arial"/>
          <w:sz w:val="22"/>
          <w:szCs w:val="22"/>
        </w:rPr>
        <w:t xml:space="preserve"> individuals are requested to provide specific reasons why they object to the processing of their data</w:t>
      </w:r>
      <w:r w:rsidR="007C746D" w:rsidRPr="00BD305E">
        <w:rPr>
          <w:rFonts w:ascii="Arial" w:hAnsi="Arial" w:cs="Arial"/>
          <w:sz w:val="22"/>
          <w:szCs w:val="22"/>
        </w:rPr>
        <w:t xml:space="preserve">. If the reasons are not an absolute right, </w:t>
      </w:r>
      <w:r w:rsidR="000850EB" w:rsidRPr="00BD305E">
        <w:rPr>
          <w:rFonts w:ascii="Arial" w:hAnsi="Arial" w:cs="Arial"/>
          <w:sz w:val="22"/>
          <w:szCs w:val="22"/>
        </w:rPr>
        <w:t xml:space="preserve">this organisation </w:t>
      </w:r>
      <w:r w:rsidR="007C746D" w:rsidRPr="00BD305E">
        <w:rPr>
          <w:rFonts w:ascii="Arial" w:hAnsi="Arial" w:cs="Arial"/>
          <w:sz w:val="22"/>
          <w:szCs w:val="22"/>
        </w:rPr>
        <w:t xml:space="preserve">can refuse to comply. </w:t>
      </w:r>
    </w:p>
    <w:p w14:paraId="60030F7F" w14:textId="5A5E7763" w:rsidR="007C746D" w:rsidRPr="00BD305E" w:rsidRDefault="007C746D" w:rsidP="007C746D">
      <w:pPr>
        <w:pStyle w:val="Heading2"/>
        <w:rPr>
          <w:rFonts w:ascii="Arial" w:hAnsi="Arial" w:cs="Arial"/>
          <w:smallCaps w:val="0"/>
          <w:sz w:val="24"/>
          <w:szCs w:val="24"/>
          <w:lang w:val="en-GB"/>
        </w:rPr>
      </w:pPr>
      <w:bookmarkStart w:id="78" w:name="_Toc160544098"/>
      <w:r w:rsidRPr="00BD305E">
        <w:rPr>
          <w:rFonts w:ascii="Arial" w:hAnsi="Arial" w:cs="Arial"/>
          <w:smallCaps w:val="0"/>
          <w:sz w:val="24"/>
          <w:szCs w:val="24"/>
          <w:lang w:val="en-GB"/>
        </w:rPr>
        <w:t>Rights in relation to automated decision making and profiling</w:t>
      </w:r>
      <w:bookmarkEnd w:id="78"/>
    </w:p>
    <w:p w14:paraId="7516F4FE" w14:textId="0CC1A0EC" w:rsidR="007C746D" w:rsidRPr="00BD305E" w:rsidRDefault="007C746D" w:rsidP="007C746D">
      <w:pPr>
        <w:rPr>
          <w:lang w:eastAsia="en-US"/>
        </w:rPr>
      </w:pPr>
    </w:p>
    <w:p w14:paraId="05DB74F2" w14:textId="24B073FB" w:rsidR="00453DA5" w:rsidRPr="00BD305E" w:rsidRDefault="00EF5355" w:rsidP="00E2519D">
      <w:pPr>
        <w:rPr>
          <w:rFonts w:ascii="Arial" w:hAnsi="Arial" w:cs="Arial"/>
          <w:sz w:val="22"/>
          <w:szCs w:val="22"/>
        </w:rPr>
      </w:pPr>
      <w:r>
        <w:rPr>
          <w:rFonts w:ascii="Arial" w:hAnsi="Arial" w:cs="Arial"/>
          <w:sz w:val="22"/>
          <w:szCs w:val="22"/>
        </w:rPr>
        <w:t>The ICO explain</w:t>
      </w:r>
      <w:r w:rsidR="0093273C">
        <w:rPr>
          <w:rFonts w:ascii="Arial" w:hAnsi="Arial" w:cs="Arial"/>
          <w:sz w:val="22"/>
          <w:szCs w:val="22"/>
        </w:rPr>
        <w:t>s</w:t>
      </w:r>
      <w:r>
        <w:rPr>
          <w:rFonts w:ascii="Arial" w:hAnsi="Arial" w:cs="Arial"/>
          <w:sz w:val="22"/>
          <w:szCs w:val="22"/>
        </w:rPr>
        <w:t xml:space="preserve"> that </w:t>
      </w:r>
      <w:hyperlink r:id="rId35" w:history="1">
        <w:r w:rsidR="007C746D" w:rsidRPr="00EF5355">
          <w:rPr>
            <w:rStyle w:val="Hyperlink"/>
            <w:rFonts w:ascii="Arial" w:hAnsi="Arial" w:cs="Arial"/>
            <w:sz w:val="22"/>
            <w:szCs w:val="22"/>
          </w:rPr>
          <w:t>Article 22</w:t>
        </w:r>
      </w:hyperlink>
      <w:r w:rsidR="007C746D" w:rsidRPr="00BD305E">
        <w:rPr>
          <w:rFonts w:ascii="Arial" w:hAnsi="Arial" w:cs="Arial"/>
          <w:sz w:val="22"/>
          <w:szCs w:val="22"/>
        </w:rPr>
        <w:t xml:space="preserve"> of the UK GDPR </w:t>
      </w:r>
      <w:r>
        <w:rPr>
          <w:rFonts w:ascii="Arial" w:hAnsi="Arial" w:cs="Arial"/>
          <w:sz w:val="22"/>
          <w:szCs w:val="22"/>
        </w:rPr>
        <w:t xml:space="preserve">prevents this organisation </w:t>
      </w:r>
      <w:r w:rsidR="0093273C">
        <w:rPr>
          <w:rFonts w:ascii="Arial" w:hAnsi="Arial" w:cs="Arial"/>
          <w:sz w:val="22"/>
          <w:szCs w:val="22"/>
        </w:rPr>
        <w:t>from using</w:t>
      </w:r>
      <w:r w:rsidR="007C746D" w:rsidRPr="00BD305E">
        <w:rPr>
          <w:rFonts w:ascii="Arial" w:hAnsi="Arial" w:cs="Arial"/>
          <w:sz w:val="22"/>
          <w:szCs w:val="22"/>
        </w:rPr>
        <w:t xml:space="preserve"> s</w:t>
      </w:r>
      <w:r w:rsidR="00256CC4" w:rsidRPr="00BD305E">
        <w:rPr>
          <w:rFonts w:ascii="Arial" w:hAnsi="Arial" w:cs="Arial"/>
          <w:sz w:val="22"/>
          <w:szCs w:val="22"/>
        </w:rPr>
        <w:t>olely automated decision making</w:t>
      </w:r>
      <w:r>
        <w:rPr>
          <w:rFonts w:ascii="Arial" w:hAnsi="Arial" w:cs="Arial"/>
          <w:sz w:val="22"/>
          <w:szCs w:val="22"/>
        </w:rPr>
        <w:t>, t</w:t>
      </w:r>
      <w:r w:rsidR="00256CC4" w:rsidRPr="00BD305E">
        <w:rPr>
          <w:rFonts w:ascii="Arial" w:hAnsi="Arial" w:cs="Arial"/>
          <w:sz w:val="22"/>
          <w:szCs w:val="22"/>
        </w:rPr>
        <w:t>h</w:t>
      </w:r>
      <w:r w:rsidR="007C746D" w:rsidRPr="00BD305E">
        <w:rPr>
          <w:rFonts w:ascii="Arial" w:hAnsi="Arial" w:cs="Arial"/>
          <w:sz w:val="22"/>
          <w:szCs w:val="22"/>
        </w:rPr>
        <w:t xml:space="preserve">is includes profiling. </w:t>
      </w:r>
    </w:p>
    <w:p w14:paraId="5E6C5C3E" w14:textId="471D4A1F" w:rsidR="007C746D" w:rsidRPr="00BD305E" w:rsidRDefault="007C746D" w:rsidP="007C746D">
      <w:pPr>
        <w:pStyle w:val="Heading1"/>
        <w:keepLines/>
        <w:pBdr>
          <w:bottom w:val="single" w:sz="4" w:space="1" w:color="595959" w:themeColor="text1" w:themeTint="A6"/>
        </w:pBdr>
        <w:spacing w:before="360" w:after="160" w:line="259" w:lineRule="auto"/>
        <w:rPr>
          <w:sz w:val="28"/>
          <w:szCs w:val="28"/>
        </w:rPr>
      </w:pPr>
      <w:bookmarkStart w:id="79" w:name="_Toc160544099"/>
      <w:r w:rsidRPr="00BD305E">
        <w:rPr>
          <w:sz w:val="28"/>
          <w:szCs w:val="28"/>
        </w:rPr>
        <w:t>Subject access requests</w:t>
      </w:r>
      <w:bookmarkEnd w:id="79"/>
    </w:p>
    <w:p w14:paraId="034FD5C9" w14:textId="243DAAE1" w:rsidR="007C746D" w:rsidRPr="00BD305E" w:rsidRDefault="007C746D" w:rsidP="007C746D">
      <w:pPr>
        <w:pStyle w:val="Heading2"/>
        <w:rPr>
          <w:rFonts w:ascii="Arial" w:hAnsi="Arial" w:cs="Arial"/>
          <w:smallCaps w:val="0"/>
          <w:sz w:val="24"/>
          <w:szCs w:val="24"/>
          <w:lang w:val="en-GB"/>
        </w:rPr>
      </w:pPr>
      <w:bookmarkStart w:id="80" w:name="_Toc160544100"/>
      <w:r w:rsidRPr="00BD305E">
        <w:rPr>
          <w:rFonts w:ascii="Arial" w:hAnsi="Arial" w:cs="Arial"/>
          <w:smallCaps w:val="0"/>
          <w:sz w:val="24"/>
          <w:szCs w:val="24"/>
          <w:lang w:val="en-GB"/>
        </w:rPr>
        <w:t>Recognising subject access requests</w:t>
      </w:r>
      <w:r w:rsidR="0065680F">
        <w:rPr>
          <w:rFonts w:ascii="Arial" w:hAnsi="Arial" w:cs="Arial"/>
          <w:smallCaps w:val="0"/>
          <w:sz w:val="24"/>
          <w:szCs w:val="24"/>
          <w:lang w:val="en-GB"/>
        </w:rPr>
        <w:t xml:space="preserve"> (SAR)</w:t>
      </w:r>
      <w:bookmarkEnd w:id="80"/>
    </w:p>
    <w:p w14:paraId="579843AA" w14:textId="0768C6EC" w:rsidR="007F0769" w:rsidRPr="00BD305E" w:rsidRDefault="007F0769" w:rsidP="007F0769">
      <w:pPr>
        <w:rPr>
          <w:lang w:eastAsia="en-US"/>
        </w:rPr>
      </w:pPr>
    </w:p>
    <w:p w14:paraId="59A4105E" w14:textId="205E3CC0" w:rsidR="007F0769" w:rsidRPr="00BD305E" w:rsidRDefault="00EF5355" w:rsidP="005536AA">
      <w:pPr>
        <w:rPr>
          <w:rFonts w:ascii="Arial" w:hAnsi="Arial" w:cs="Arial"/>
          <w:sz w:val="22"/>
          <w:szCs w:val="22"/>
          <w:lang w:eastAsia="en-US"/>
        </w:rPr>
      </w:pPr>
      <w:r>
        <w:rPr>
          <w:rFonts w:ascii="Arial" w:hAnsi="Arial" w:cs="Arial"/>
          <w:sz w:val="22"/>
          <w:szCs w:val="22"/>
          <w:lang w:eastAsia="en-US"/>
        </w:rPr>
        <w:t xml:space="preserve">The </w:t>
      </w:r>
      <w:hyperlink r:id="rId36" w:history="1">
        <w:r w:rsidRPr="00EF5355">
          <w:rPr>
            <w:rStyle w:val="Hyperlink"/>
            <w:rFonts w:ascii="Arial" w:hAnsi="Arial" w:cs="Arial"/>
            <w:sz w:val="22"/>
            <w:szCs w:val="22"/>
            <w:lang w:eastAsia="en-US"/>
          </w:rPr>
          <w:t>ICO</w:t>
        </w:r>
      </w:hyperlink>
      <w:r>
        <w:rPr>
          <w:rFonts w:ascii="Arial" w:hAnsi="Arial" w:cs="Arial"/>
          <w:sz w:val="22"/>
          <w:szCs w:val="22"/>
          <w:lang w:eastAsia="en-US"/>
        </w:rPr>
        <w:t xml:space="preserve"> state</w:t>
      </w:r>
      <w:r w:rsidR="0093273C">
        <w:rPr>
          <w:rFonts w:ascii="Arial" w:hAnsi="Arial" w:cs="Arial"/>
          <w:sz w:val="22"/>
          <w:szCs w:val="22"/>
          <w:lang w:eastAsia="en-US"/>
        </w:rPr>
        <w:t>s</w:t>
      </w:r>
      <w:r>
        <w:rPr>
          <w:rFonts w:ascii="Arial" w:hAnsi="Arial" w:cs="Arial"/>
          <w:sz w:val="22"/>
          <w:szCs w:val="22"/>
          <w:lang w:eastAsia="en-US"/>
        </w:rPr>
        <w:t xml:space="preserve"> </w:t>
      </w:r>
      <w:r w:rsidR="00232534" w:rsidRPr="00BD305E">
        <w:rPr>
          <w:rFonts w:ascii="Arial" w:hAnsi="Arial" w:cs="Arial"/>
          <w:sz w:val="22"/>
          <w:szCs w:val="22"/>
          <w:lang w:eastAsia="en-US"/>
        </w:rPr>
        <w:t>“An individual can make a SAR verbally or in writing, including on social media. A request is valid if it is clear that the individual is asking for their own personal data.</w:t>
      </w:r>
      <w:r>
        <w:rPr>
          <w:rFonts w:ascii="Arial" w:hAnsi="Arial" w:cs="Arial"/>
          <w:sz w:val="22"/>
          <w:szCs w:val="22"/>
          <w:lang w:eastAsia="en-US"/>
        </w:rPr>
        <w:t xml:space="preserve"> An individual does not need to use a specific form of words, refer to legislation or direct the request to a specific contact</w:t>
      </w:r>
      <w:r w:rsidR="00232534" w:rsidRPr="00BD305E">
        <w:rPr>
          <w:rFonts w:ascii="Arial" w:hAnsi="Arial" w:cs="Arial"/>
          <w:sz w:val="22"/>
          <w:szCs w:val="22"/>
          <w:lang w:eastAsia="en-US"/>
        </w:rPr>
        <w:t>”</w:t>
      </w:r>
      <w:r>
        <w:rPr>
          <w:rFonts w:ascii="Arial" w:hAnsi="Arial" w:cs="Arial"/>
          <w:sz w:val="22"/>
          <w:szCs w:val="22"/>
          <w:lang w:eastAsia="en-US"/>
        </w:rPr>
        <w:t xml:space="preserve">. </w:t>
      </w:r>
    </w:p>
    <w:p w14:paraId="5B2EF6B5" w14:textId="2E278603" w:rsidR="007C746D" w:rsidRPr="00BD305E" w:rsidRDefault="007C746D" w:rsidP="00E2519D">
      <w:pPr>
        <w:rPr>
          <w:rFonts w:ascii="Arial" w:hAnsi="Arial" w:cs="Arial"/>
          <w:sz w:val="22"/>
          <w:szCs w:val="22"/>
        </w:rPr>
      </w:pPr>
    </w:p>
    <w:p w14:paraId="3D4CFEFA" w14:textId="4962CA7C" w:rsidR="00232534" w:rsidRPr="00BD305E" w:rsidRDefault="00EF5355" w:rsidP="00E2519D">
      <w:pPr>
        <w:rPr>
          <w:rFonts w:ascii="Arial" w:hAnsi="Arial" w:cs="Arial"/>
          <w:sz w:val="22"/>
          <w:szCs w:val="22"/>
        </w:rPr>
      </w:pPr>
      <w:r>
        <w:rPr>
          <w:rFonts w:ascii="Arial" w:hAnsi="Arial" w:cs="Arial"/>
          <w:sz w:val="22"/>
          <w:szCs w:val="22"/>
        </w:rPr>
        <w:t>Staff at this organisation are to encourage the use of the SAR form</w:t>
      </w:r>
      <w:r w:rsidR="0065680F">
        <w:rPr>
          <w:rFonts w:ascii="Arial" w:hAnsi="Arial" w:cs="Arial"/>
          <w:sz w:val="22"/>
          <w:szCs w:val="22"/>
        </w:rPr>
        <w:t xml:space="preserve"> (included in the </w:t>
      </w:r>
      <w:hyperlink r:id="rId37" w:history="1">
        <w:r w:rsidR="0065680F" w:rsidRPr="0065680F">
          <w:rPr>
            <w:rStyle w:val="Hyperlink"/>
            <w:rFonts w:ascii="Arial" w:hAnsi="Arial" w:cs="Arial"/>
            <w:sz w:val="22"/>
            <w:szCs w:val="22"/>
          </w:rPr>
          <w:t xml:space="preserve">Access to </w:t>
        </w:r>
        <w:r w:rsidR="0093273C" w:rsidRPr="0065680F">
          <w:rPr>
            <w:rStyle w:val="Hyperlink"/>
            <w:rFonts w:ascii="Arial" w:hAnsi="Arial" w:cs="Arial"/>
            <w:sz w:val="22"/>
            <w:szCs w:val="22"/>
          </w:rPr>
          <w:t>Medical Records Policy</w:t>
        </w:r>
      </w:hyperlink>
      <w:r w:rsidR="0065680F">
        <w:rPr>
          <w:rFonts w:ascii="Arial" w:hAnsi="Arial" w:cs="Arial"/>
          <w:sz w:val="22"/>
          <w:szCs w:val="22"/>
        </w:rPr>
        <w:t>)</w:t>
      </w:r>
      <w:r w:rsidR="0093273C">
        <w:rPr>
          <w:rFonts w:ascii="Arial" w:hAnsi="Arial" w:cs="Arial"/>
          <w:sz w:val="22"/>
          <w:szCs w:val="22"/>
        </w:rPr>
        <w:t>. H</w:t>
      </w:r>
      <w:r w:rsidR="0065680F">
        <w:rPr>
          <w:rFonts w:ascii="Arial" w:hAnsi="Arial" w:cs="Arial"/>
          <w:sz w:val="22"/>
          <w:szCs w:val="22"/>
        </w:rPr>
        <w:t>owever, they must accept that a</w:t>
      </w:r>
      <w:r w:rsidR="00232534" w:rsidRPr="00BD305E">
        <w:rPr>
          <w:rFonts w:ascii="Arial" w:hAnsi="Arial" w:cs="Arial"/>
          <w:sz w:val="22"/>
          <w:szCs w:val="22"/>
        </w:rPr>
        <w:t>ny requests</w:t>
      </w:r>
      <w:r w:rsidR="0093273C">
        <w:rPr>
          <w:rFonts w:ascii="Arial" w:hAnsi="Arial" w:cs="Arial"/>
          <w:sz w:val="22"/>
          <w:szCs w:val="22"/>
        </w:rPr>
        <w:t xml:space="preserve"> that do not use </w:t>
      </w:r>
      <w:r w:rsidR="00232534" w:rsidRPr="00BD305E">
        <w:rPr>
          <w:rFonts w:ascii="Arial" w:hAnsi="Arial" w:cs="Arial"/>
          <w:sz w:val="22"/>
          <w:szCs w:val="22"/>
        </w:rPr>
        <w:t xml:space="preserve">the SAR form </w:t>
      </w:r>
      <w:r w:rsidR="0065680F">
        <w:rPr>
          <w:rFonts w:ascii="Arial" w:hAnsi="Arial" w:cs="Arial"/>
          <w:sz w:val="22"/>
          <w:szCs w:val="22"/>
        </w:rPr>
        <w:t>are to</w:t>
      </w:r>
      <w:r w:rsidR="00232534" w:rsidRPr="00BD305E">
        <w:rPr>
          <w:rFonts w:ascii="Arial" w:hAnsi="Arial" w:cs="Arial"/>
          <w:sz w:val="22"/>
          <w:szCs w:val="22"/>
        </w:rPr>
        <w:t xml:space="preserve"> be processed. </w:t>
      </w:r>
    </w:p>
    <w:p w14:paraId="4342C7A9" w14:textId="41E10EBD" w:rsidR="00232534" w:rsidRPr="00BD305E" w:rsidRDefault="00232534" w:rsidP="00232534">
      <w:pPr>
        <w:pStyle w:val="Heading2"/>
        <w:rPr>
          <w:rFonts w:ascii="Arial" w:hAnsi="Arial" w:cs="Arial"/>
          <w:smallCaps w:val="0"/>
          <w:sz w:val="24"/>
          <w:szCs w:val="24"/>
          <w:lang w:val="en-GB"/>
        </w:rPr>
      </w:pPr>
      <w:bookmarkStart w:id="81" w:name="_Toc160544101"/>
      <w:r w:rsidRPr="00BD305E">
        <w:rPr>
          <w:rFonts w:ascii="Arial" w:hAnsi="Arial" w:cs="Arial"/>
          <w:smallCaps w:val="0"/>
          <w:sz w:val="24"/>
          <w:szCs w:val="24"/>
          <w:lang w:val="en-GB"/>
        </w:rPr>
        <w:t>Responding to a subject access request</w:t>
      </w:r>
      <w:bookmarkEnd w:id="81"/>
    </w:p>
    <w:p w14:paraId="73F28784" w14:textId="77777777" w:rsidR="00232534" w:rsidRPr="00BD305E" w:rsidRDefault="00232534" w:rsidP="00232534">
      <w:pPr>
        <w:rPr>
          <w:lang w:eastAsia="en-US"/>
        </w:rPr>
      </w:pPr>
    </w:p>
    <w:p w14:paraId="3A45CD16" w14:textId="6DFEC6D8" w:rsidR="00232534" w:rsidRPr="00BD305E" w:rsidRDefault="00015E07" w:rsidP="00232534">
      <w:pPr>
        <w:rPr>
          <w:rFonts w:ascii="Arial" w:hAnsi="Arial" w:cs="Arial"/>
          <w:sz w:val="22"/>
          <w:szCs w:val="22"/>
          <w:lang w:eastAsia="en-US"/>
        </w:rPr>
      </w:pPr>
      <w:r>
        <w:rPr>
          <w:rFonts w:ascii="Arial" w:hAnsi="Arial" w:cs="Arial"/>
          <w:sz w:val="22"/>
          <w:szCs w:val="22"/>
          <w:lang w:eastAsia="en-US"/>
        </w:rPr>
        <w:t xml:space="preserve">The </w:t>
      </w:r>
      <w:hyperlink r:id="rId38" w:history="1">
        <w:r w:rsidRPr="00015E07">
          <w:rPr>
            <w:rStyle w:val="Hyperlink"/>
            <w:rFonts w:ascii="Arial" w:hAnsi="Arial" w:cs="Arial"/>
            <w:sz w:val="22"/>
            <w:szCs w:val="22"/>
            <w:lang w:eastAsia="en-US"/>
          </w:rPr>
          <w:t>ICO</w:t>
        </w:r>
      </w:hyperlink>
      <w:r>
        <w:rPr>
          <w:rFonts w:ascii="Arial" w:hAnsi="Arial" w:cs="Arial"/>
          <w:sz w:val="22"/>
          <w:szCs w:val="22"/>
          <w:lang w:eastAsia="en-US"/>
        </w:rPr>
        <w:t xml:space="preserve"> advise</w:t>
      </w:r>
      <w:r w:rsidR="0093273C">
        <w:rPr>
          <w:rFonts w:ascii="Arial" w:hAnsi="Arial" w:cs="Arial"/>
          <w:sz w:val="22"/>
          <w:szCs w:val="22"/>
          <w:lang w:eastAsia="en-US"/>
        </w:rPr>
        <w:t>s</w:t>
      </w:r>
      <w:r>
        <w:rPr>
          <w:rFonts w:ascii="Arial" w:hAnsi="Arial" w:cs="Arial"/>
          <w:sz w:val="22"/>
          <w:szCs w:val="22"/>
          <w:lang w:eastAsia="en-US"/>
        </w:rPr>
        <w:t xml:space="preserve"> that this organisation must respond to a SAR without delay and within one month of receipt of the request. This time limit may be extended by a </w:t>
      </w:r>
      <w:r>
        <w:rPr>
          <w:rFonts w:ascii="Arial" w:hAnsi="Arial" w:cs="Arial"/>
          <w:sz w:val="22"/>
          <w:szCs w:val="22"/>
          <w:lang w:eastAsia="en-US"/>
        </w:rPr>
        <w:lastRenderedPageBreak/>
        <w:t xml:space="preserve">further two months if the request is complex or multiple requests are received from the individual. </w:t>
      </w:r>
    </w:p>
    <w:p w14:paraId="356D09D3" w14:textId="1D180ADE" w:rsidR="00232534" w:rsidRPr="00BD305E" w:rsidRDefault="00232534" w:rsidP="00E2519D">
      <w:pPr>
        <w:rPr>
          <w:rFonts w:ascii="Arial" w:hAnsi="Arial" w:cs="Arial"/>
          <w:sz w:val="22"/>
          <w:szCs w:val="22"/>
        </w:rPr>
      </w:pPr>
    </w:p>
    <w:p w14:paraId="3E659E19" w14:textId="62350793" w:rsidR="00232534" w:rsidRPr="00BD305E" w:rsidRDefault="00232534" w:rsidP="00E2519D">
      <w:pPr>
        <w:rPr>
          <w:rFonts w:ascii="Arial" w:hAnsi="Arial" w:cs="Arial"/>
          <w:sz w:val="22"/>
          <w:szCs w:val="22"/>
        </w:rPr>
      </w:pPr>
      <w:r w:rsidRPr="00BD305E">
        <w:rPr>
          <w:rFonts w:ascii="Arial" w:hAnsi="Arial" w:cs="Arial"/>
          <w:sz w:val="22"/>
          <w:szCs w:val="22"/>
        </w:rPr>
        <w:t xml:space="preserve">Should </w:t>
      </w:r>
      <w:r w:rsidR="00563D1E" w:rsidRPr="00BD305E">
        <w:rPr>
          <w:rFonts w:ascii="Arial" w:hAnsi="Arial" w:cs="Arial"/>
          <w:sz w:val="22"/>
          <w:szCs w:val="22"/>
        </w:rPr>
        <w:t xml:space="preserve">the request involve a large amount of information, </w:t>
      </w:r>
      <w:r w:rsidR="00015E07">
        <w:rPr>
          <w:rFonts w:ascii="Arial" w:hAnsi="Arial" w:cs="Arial"/>
          <w:sz w:val="22"/>
          <w:szCs w:val="22"/>
        </w:rPr>
        <w:t>this organisation</w:t>
      </w:r>
      <w:r w:rsidR="00563D1E" w:rsidRPr="00BD305E">
        <w:rPr>
          <w:rFonts w:ascii="Arial" w:hAnsi="Arial" w:cs="Arial"/>
          <w:sz w:val="22"/>
          <w:szCs w:val="22"/>
        </w:rPr>
        <w:t xml:space="preserve"> will ask the </w:t>
      </w:r>
      <w:r w:rsidR="00015E07">
        <w:rPr>
          <w:rFonts w:ascii="Arial" w:hAnsi="Arial" w:cs="Arial"/>
          <w:sz w:val="22"/>
          <w:szCs w:val="22"/>
        </w:rPr>
        <w:t>individual</w:t>
      </w:r>
      <w:r w:rsidR="00563D1E" w:rsidRPr="00BD305E">
        <w:rPr>
          <w:rFonts w:ascii="Arial" w:hAnsi="Arial" w:cs="Arial"/>
          <w:sz w:val="22"/>
          <w:szCs w:val="22"/>
        </w:rPr>
        <w:t xml:space="preserve"> to specify what data they require before responding to the request. </w:t>
      </w:r>
      <w:r w:rsidR="00015E07">
        <w:rPr>
          <w:rFonts w:ascii="Arial" w:hAnsi="Arial" w:cs="Arial"/>
          <w:sz w:val="22"/>
          <w:szCs w:val="22"/>
        </w:rPr>
        <w:t>The time limit for responding to the request is paused</w:t>
      </w:r>
      <w:r w:rsidR="00563D1E" w:rsidRPr="00BD305E">
        <w:rPr>
          <w:rFonts w:ascii="Arial" w:hAnsi="Arial" w:cs="Arial"/>
          <w:sz w:val="22"/>
          <w:szCs w:val="22"/>
        </w:rPr>
        <w:t xml:space="preserve"> until clarification is received.</w:t>
      </w:r>
    </w:p>
    <w:p w14:paraId="4236769B" w14:textId="17CD195D" w:rsidR="007C2FBE" w:rsidRPr="00BD305E" w:rsidRDefault="007C2FBE" w:rsidP="007C2FBE">
      <w:pPr>
        <w:pStyle w:val="Heading2"/>
        <w:rPr>
          <w:rFonts w:ascii="Arial" w:hAnsi="Arial" w:cs="Arial"/>
          <w:smallCaps w:val="0"/>
          <w:sz w:val="24"/>
          <w:szCs w:val="24"/>
          <w:lang w:val="en-GB"/>
        </w:rPr>
      </w:pPr>
      <w:bookmarkStart w:id="82" w:name="_Toc43131919"/>
      <w:bookmarkStart w:id="83" w:name="_Toc160544102"/>
      <w:r w:rsidRPr="00BD305E">
        <w:rPr>
          <w:rFonts w:ascii="Arial" w:hAnsi="Arial" w:cs="Arial"/>
          <w:smallCaps w:val="0"/>
          <w:sz w:val="24"/>
          <w:szCs w:val="24"/>
          <w:lang w:val="en-GB"/>
        </w:rPr>
        <w:t>Fees</w:t>
      </w:r>
      <w:bookmarkEnd w:id="82"/>
      <w:bookmarkEnd w:id="83"/>
    </w:p>
    <w:p w14:paraId="36FDD08D" w14:textId="77777777" w:rsidR="007C2FBE" w:rsidRPr="00BD305E" w:rsidRDefault="007C2FBE" w:rsidP="00E2519D">
      <w:pPr>
        <w:rPr>
          <w:rFonts w:ascii="Arial" w:hAnsi="Arial" w:cs="Arial"/>
          <w:sz w:val="22"/>
          <w:szCs w:val="22"/>
        </w:rPr>
      </w:pPr>
    </w:p>
    <w:p w14:paraId="29025E60" w14:textId="2EFAEF3D" w:rsidR="00BF70BB" w:rsidRDefault="00015E07" w:rsidP="00E2519D">
      <w:pPr>
        <w:rPr>
          <w:rFonts w:ascii="Arial" w:hAnsi="Arial" w:cs="Arial"/>
          <w:sz w:val="22"/>
          <w:szCs w:val="22"/>
        </w:rPr>
      </w:pPr>
      <w:r>
        <w:rPr>
          <w:rFonts w:ascii="Arial" w:hAnsi="Arial" w:cs="Arial"/>
          <w:sz w:val="22"/>
          <w:szCs w:val="22"/>
        </w:rPr>
        <w:t xml:space="preserve">As stated by the </w:t>
      </w:r>
      <w:hyperlink r:id="rId39" w:history="1">
        <w:r w:rsidRPr="00015E07">
          <w:rPr>
            <w:rStyle w:val="Hyperlink"/>
            <w:rFonts w:ascii="Arial" w:hAnsi="Arial" w:cs="Arial"/>
            <w:sz w:val="22"/>
            <w:szCs w:val="22"/>
          </w:rPr>
          <w:t>ICO</w:t>
        </w:r>
      </w:hyperlink>
      <w:r>
        <w:rPr>
          <w:rFonts w:ascii="Arial" w:hAnsi="Arial" w:cs="Arial"/>
          <w:sz w:val="22"/>
          <w:szCs w:val="22"/>
        </w:rPr>
        <w:t>, this organisation</w:t>
      </w:r>
      <w:r w:rsidR="007C2FBE" w:rsidRPr="00BD305E">
        <w:rPr>
          <w:rFonts w:ascii="Arial" w:hAnsi="Arial" w:cs="Arial"/>
          <w:sz w:val="22"/>
          <w:szCs w:val="22"/>
        </w:rPr>
        <w:t xml:space="preserve"> is not permitted to charge </w:t>
      </w:r>
      <w:r>
        <w:rPr>
          <w:rFonts w:ascii="Arial" w:hAnsi="Arial" w:cs="Arial"/>
          <w:sz w:val="22"/>
          <w:szCs w:val="22"/>
        </w:rPr>
        <w:t xml:space="preserve">a fee to comply with a SAR. However, a reasonable fee may be charged if the request is deemed to be </w:t>
      </w:r>
      <w:hyperlink r:id="rId40" w:anchor="f" w:history="1">
        <w:r w:rsidRPr="00255F27">
          <w:rPr>
            <w:rStyle w:val="Hyperlink"/>
            <w:rFonts w:ascii="Arial" w:hAnsi="Arial" w:cs="Arial"/>
            <w:sz w:val="22"/>
            <w:szCs w:val="22"/>
          </w:rPr>
          <w:t>manifestly unfounded or excess</w:t>
        </w:r>
        <w:r w:rsidR="00255F27" w:rsidRPr="00255F27">
          <w:rPr>
            <w:rStyle w:val="Hyperlink"/>
            <w:rFonts w:ascii="Arial" w:hAnsi="Arial" w:cs="Arial"/>
            <w:sz w:val="22"/>
            <w:szCs w:val="22"/>
          </w:rPr>
          <w:t>ive</w:t>
        </w:r>
      </w:hyperlink>
      <w:r>
        <w:rPr>
          <w:rFonts w:ascii="Arial" w:hAnsi="Arial" w:cs="Arial"/>
          <w:sz w:val="22"/>
          <w:szCs w:val="22"/>
        </w:rPr>
        <w:t>, or if an individual requests further copies of their data.</w:t>
      </w:r>
    </w:p>
    <w:p w14:paraId="07D8B563" w14:textId="77777777" w:rsidR="00015E07" w:rsidRDefault="00015E07" w:rsidP="00E2519D">
      <w:pPr>
        <w:rPr>
          <w:rFonts w:ascii="Arial" w:hAnsi="Arial" w:cs="Arial"/>
          <w:sz w:val="22"/>
          <w:szCs w:val="22"/>
        </w:rPr>
      </w:pPr>
    </w:p>
    <w:p w14:paraId="3D27581E" w14:textId="77777777" w:rsidR="00015E07" w:rsidRPr="00BD305E" w:rsidRDefault="00015E07" w:rsidP="00E2519D">
      <w:pPr>
        <w:rPr>
          <w:rFonts w:ascii="Arial" w:hAnsi="Arial" w:cs="Arial"/>
          <w:sz w:val="22"/>
          <w:szCs w:val="22"/>
        </w:rPr>
      </w:pPr>
    </w:p>
    <w:p w14:paraId="0FE5DDB2" w14:textId="40C3BA86" w:rsidR="00A636D9" w:rsidRPr="00BD305E" w:rsidRDefault="00A636D9" w:rsidP="00A636D9">
      <w:pPr>
        <w:pStyle w:val="Heading2"/>
        <w:rPr>
          <w:rFonts w:ascii="Arial" w:hAnsi="Arial" w:cs="Arial"/>
          <w:smallCaps w:val="0"/>
          <w:sz w:val="24"/>
          <w:szCs w:val="24"/>
          <w:lang w:val="en-GB"/>
        </w:rPr>
      </w:pPr>
      <w:bookmarkStart w:id="84" w:name="_Toc43131921"/>
      <w:bookmarkStart w:id="85" w:name="_Toc160544103"/>
      <w:r w:rsidRPr="00BD305E">
        <w:rPr>
          <w:rFonts w:ascii="Arial" w:hAnsi="Arial" w:cs="Arial"/>
          <w:smallCaps w:val="0"/>
          <w:sz w:val="24"/>
          <w:szCs w:val="24"/>
          <w:lang w:val="en-GB"/>
        </w:rPr>
        <w:t>Verifying the subject access request</w:t>
      </w:r>
      <w:bookmarkEnd w:id="84"/>
      <w:bookmarkEnd w:id="85"/>
    </w:p>
    <w:p w14:paraId="531F0A9E" w14:textId="77777777" w:rsidR="00255F27" w:rsidRDefault="00255F27" w:rsidP="00E2519D">
      <w:pPr>
        <w:rPr>
          <w:rFonts w:ascii="Arial" w:hAnsi="Arial" w:cs="Arial"/>
        </w:rPr>
      </w:pPr>
    </w:p>
    <w:p w14:paraId="64AA9F42" w14:textId="50AE3C1A" w:rsidR="00B337C9" w:rsidRPr="00BD305E" w:rsidRDefault="00255F27" w:rsidP="00E2519D">
      <w:pPr>
        <w:rPr>
          <w:rFonts w:ascii="Arial" w:hAnsi="Arial" w:cs="Arial"/>
          <w:sz w:val="22"/>
          <w:szCs w:val="22"/>
        </w:rPr>
      </w:pPr>
      <w:r w:rsidRPr="00255F27">
        <w:rPr>
          <w:rFonts w:ascii="Arial" w:hAnsi="Arial" w:cs="Arial"/>
          <w:sz w:val="22"/>
          <w:szCs w:val="22"/>
        </w:rPr>
        <w:t xml:space="preserve">The </w:t>
      </w:r>
      <w:hyperlink r:id="rId41" w:history="1">
        <w:r w:rsidRPr="00255F27">
          <w:rPr>
            <w:rStyle w:val="Hyperlink"/>
            <w:rFonts w:ascii="Arial" w:hAnsi="Arial" w:cs="Arial"/>
            <w:sz w:val="22"/>
            <w:szCs w:val="22"/>
          </w:rPr>
          <w:t>ICO</w:t>
        </w:r>
      </w:hyperlink>
      <w:r w:rsidRPr="00255F27">
        <w:rPr>
          <w:rFonts w:ascii="Arial" w:hAnsi="Arial" w:cs="Arial"/>
          <w:sz w:val="22"/>
          <w:szCs w:val="22"/>
        </w:rPr>
        <w:t xml:space="preserve"> explain</w:t>
      </w:r>
      <w:r w:rsidR="0093273C">
        <w:rPr>
          <w:rFonts w:ascii="Arial" w:hAnsi="Arial" w:cs="Arial"/>
          <w:sz w:val="22"/>
          <w:szCs w:val="22"/>
        </w:rPr>
        <w:t>s</w:t>
      </w:r>
      <w:r w:rsidRPr="00255F27">
        <w:rPr>
          <w:rFonts w:ascii="Arial" w:hAnsi="Arial" w:cs="Arial"/>
          <w:sz w:val="22"/>
          <w:szCs w:val="22"/>
        </w:rPr>
        <w:t xml:space="preserve"> that </w:t>
      </w:r>
      <w:r>
        <w:rPr>
          <w:rFonts w:ascii="Arial" w:hAnsi="Arial" w:cs="Arial"/>
          <w:sz w:val="22"/>
          <w:szCs w:val="22"/>
        </w:rPr>
        <w:t>this organisation must satisfy</w:t>
      </w:r>
      <w:r w:rsidR="0093273C">
        <w:rPr>
          <w:rFonts w:ascii="Arial" w:hAnsi="Arial" w:cs="Arial"/>
          <w:sz w:val="22"/>
          <w:szCs w:val="22"/>
        </w:rPr>
        <w:t xml:space="preserve"> itself </w:t>
      </w:r>
      <w:r>
        <w:rPr>
          <w:rFonts w:ascii="Arial" w:hAnsi="Arial" w:cs="Arial"/>
          <w:sz w:val="22"/>
          <w:szCs w:val="22"/>
        </w:rPr>
        <w:t xml:space="preserve">that the identity of the requestor is known (or the identity of the person the request is made on behalf of). It is acceptable to request information to verify an individual’s identity. Note, the timescale for responding to a SAR does not begin until the requested information has been received. </w:t>
      </w:r>
      <w:r w:rsidR="002D53CC" w:rsidRPr="00BD305E">
        <w:rPr>
          <w:rFonts w:ascii="Arial" w:hAnsi="Arial" w:cs="Arial"/>
          <w:sz w:val="22"/>
          <w:szCs w:val="22"/>
        </w:rPr>
        <w:t xml:space="preserve">The </w:t>
      </w:r>
      <w:r w:rsidR="003C69BA" w:rsidRPr="00BD305E">
        <w:rPr>
          <w:rFonts w:ascii="Arial" w:hAnsi="Arial" w:cs="Arial"/>
          <w:sz w:val="22"/>
          <w:szCs w:val="22"/>
        </w:rPr>
        <w:t>organisation’s</w:t>
      </w:r>
      <w:r w:rsidR="002D53CC" w:rsidRPr="00BD305E">
        <w:rPr>
          <w:rFonts w:ascii="Arial" w:hAnsi="Arial" w:cs="Arial"/>
          <w:sz w:val="22"/>
          <w:szCs w:val="22"/>
        </w:rPr>
        <w:t xml:space="preserve"> SAR form supports the data contro</w:t>
      </w:r>
      <w:r w:rsidR="00392BD7" w:rsidRPr="00BD305E">
        <w:rPr>
          <w:rFonts w:ascii="Arial" w:hAnsi="Arial" w:cs="Arial"/>
          <w:sz w:val="22"/>
          <w:szCs w:val="22"/>
        </w:rPr>
        <w:t>ller in verifying the request</w:t>
      </w:r>
      <w:r w:rsidR="002D53CC" w:rsidRPr="00BD305E">
        <w:rPr>
          <w:rFonts w:ascii="Arial" w:hAnsi="Arial" w:cs="Arial"/>
          <w:sz w:val="22"/>
          <w:szCs w:val="22"/>
        </w:rPr>
        <w:t>.</w:t>
      </w:r>
    </w:p>
    <w:p w14:paraId="66EE0E17" w14:textId="44748537" w:rsidR="002D53CC" w:rsidRPr="00BD305E" w:rsidRDefault="00563D1E" w:rsidP="002D53CC">
      <w:pPr>
        <w:pStyle w:val="Heading2"/>
        <w:rPr>
          <w:rFonts w:ascii="Arial" w:hAnsi="Arial" w:cs="Arial"/>
          <w:smallCaps w:val="0"/>
          <w:sz w:val="24"/>
          <w:szCs w:val="24"/>
          <w:lang w:val="en-GB"/>
        </w:rPr>
      </w:pPr>
      <w:bookmarkStart w:id="86" w:name="_Toc160544104"/>
      <w:r w:rsidRPr="00BD305E">
        <w:rPr>
          <w:rFonts w:ascii="Arial" w:hAnsi="Arial" w:cs="Arial"/>
          <w:smallCaps w:val="0"/>
          <w:sz w:val="24"/>
          <w:szCs w:val="24"/>
          <w:lang w:val="en-GB"/>
        </w:rPr>
        <w:t>Supplying the requested information</w:t>
      </w:r>
      <w:bookmarkEnd w:id="86"/>
    </w:p>
    <w:p w14:paraId="264FEB1D" w14:textId="77777777" w:rsidR="002D53CC" w:rsidRPr="00BD305E" w:rsidRDefault="002D53CC" w:rsidP="00E2519D">
      <w:pPr>
        <w:rPr>
          <w:rFonts w:ascii="Arial" w:hAnsi="Arial" w:cs="Arial"/>
        </w:rPr>
      </w:pPr>
    </w:p>
    <w:p w14:paraId="71297559" w14:textId="47449A92" w:rsidR="002D53CC" w:rsidRPr="00BD305E" w:rsidRDefault="00E84B5A" w:rsidP="00E2519D">
      <w:pPr>
        <w:rPr>
          <w:rFonts w:ascii="Arial" w:hAnsi="Arial" w:cs="Arial"/>
          <w:sz w:val="22"/>
          <w:szCs w:val="22"/>
        </w:rPr>
      </w:pPr>
      <w:hyperlink r:id="rId42" w:history="1">
        <w:r w:rsidR="00255F27" w:rsidRPr="00255F27">
          <w:rPr>
            <w:rStyle w:val="Hyperlink"/>
            <w:rFonts w:ascii="Arial" w:hAnsi="Arial" w:cs="Arial"/>
            <w:sz w:val="22"/>
            <w:szCs w:val="22"/>
          </w:rPr>
          <w:t>ICO guidance</w:t>
        </w:r>
      </w:hyperlink>
      <w:r w:rsidR="00255F27">
        <w:rPr>
          <w:rFonts w:ascii="Arial" w:hAnsi="Arial" w:cs="Arial"/>
          <w:sz w:val="22"/>
          <w:szCs w:val="22"/>
        </w:rPr>
        <w:t xml:space="preserve"> explains that t</w:t>
      </w:r>
      <w:r w:rsidR="00563D1E" w:rsidRPr="00BD305E">
        <w:rPr>
          <w:rFonts w:ascii="Arial" w:hAnsi="Arial" w:cs="Arial"/>
          <w:sz w:val="22"/>
          <w:szCs w:val="22"/>
        </w:rPr>
        <w:t>he decision on what format to provide the requested information in should take into consideration the circumstances of the request and whether the individual can access the data in the format provided.</w:t>
      </w:r>
      <w:r w:rsidR="00255F27">
        <w:rPr>
          <w:rFonts w:ascii="Arial" w:hAnsi="Arial" w:cs="Arial"/>
          <w:sz w:val="22"/>
          <w:szCs w:val="22"/>
        </w:rPr>
        <w:t xml:space="preserve"> It is considered good practice to establish the individual’s preferred method before fulfilling their request.</w:t>
      </w:r>
    </w:p>
    <w:p w14:paraId="0967393B" w14:textId="6438F7D4" w:rsidR="0019060B" w:rsidRPr="00BD305E" w:rsidRDefault="003C69BA" w:rsidP="0019060B">
      <w:pPr>
        <w:pStyle w:val="Heading2"/>
        <w:rPr>
          <w:rFonts w:ascii="Arial" w:hAnsi="Arial" w:cs="Arial"/>
          <w:smallCaps w:val="0"/>
          <w:sz w:val="24"/>
          <w:szCs w:val="24"/>
          <w:lang w:val="en-GB"/>
        </w:rPr>
      </w:pPr>
      <w:bookmarkStart w:id="87" w:name="_Toc43131923"/>
      <w:bookmarkStart w:id="88" w:name="_Toc160544105"/>
      <w:r w:rsidRPr="00BD305E">
        <w:rPr>
          <w:rFonts w:ascii="Arial" w:hAnsi="Arial" w:cs="Arial"/>
          <w:smallCaps w:val="0"/>
          <w:sz w:val="24"/>
          <w:szCs w:val="24"/>
          <w:lang w:val="en-GB"/>
        </w:rPr>
        <w:t xml:space="preserve">Third </w:t>
      </w:r>
      <w:r w:rsidR="0019060B" w:rsidRPr="00BD305E">
        <w:rPr>
          <w:rFonts w:ascii="Arial" w:hAnsi="Arial" w:cs="Arial"/>
          <w:smallCaps w:val="0"/>
          <w:sz w:val="24"/>
          <w:szCs w:val="24"/>
          <w:lang w:val="en-GB"/>
        </w:rPr>
        <w:t>party requests</w:t>
      </w:r>
      <w:bookmarkEnd w:id="87"/>
      <w:bookmarkEnd w:id="88"/>
    </w:p>
    <w:p w14:paraId="2234A2DE" w14:textId="5858E0E2" w:rsidR="0019060B" w:rsidRPr="00BD305E" w:rsidRDefault="0019060B" w:rsidP="0019060B">
      <w:pPr>
        <w:rPr>
          <w:lang w:eastAsia="en-US"/>
        </w:rPr>
      </w:pPr>
    </w:p>
    <w:p w14:paraId="1F7A2B86" w14:textId="35FE8B2E" w:rsidR="0019060B" w:rsidRPr="00BD305E" w:rsidRDefault="00095DE9" w:rsidP="0019060B">
      <w:pPr>
        <w:rPr>
          <w:rFonts w:ascii="Arial" w:hAnsi="Arial" w:cs="Arial"/>
          <w:sz w:val="22"/>
          <w:szCs w:val="22"/>
          <w:lang w:eastAsia="en-US"/>
        </w:rPr>
      </w:pPr>
      <w:r>
        <w:rPr>
          <w:rFonts w:ascii="Arial" w:hAnsi="Arial" w:cs="Arial"/>
          <w:sz w:val="22"/>
          <w:szCs w:val="22"/>
          <w:lang w:eastAsia="en-US"/>
        </w:rPr>
        <w:t>This organisation, as a data controller</w:t>
      </w:r>
      <w:r w:rsidR="0093273C">
        <w:rPr>
          <w:rFonts w:ascii="Arial" w:hAnsi="Arial" w:cs="Arial"/>
          <w:sz w:val="22"/>
          <w:szCs w:val="22"/>
          <w:lang w:eastAsia="en-US"/>
        </w:rPr>
        <w:t>,</w:t>
      </w:r>
      <w:r w:rsidR="0019060B" w:rsidRPr="00BD305E">
        <w:rPr>
          <w:rFonts w:ascii="Arial" w:hAnsi="Arial" w:cs="Arial"/>
          <w:sz w:val="22"/>
          <w:szCs w:val="22"/>
          <w:lang w:eastAsia="en-US"/>
        </w:rPr>
        <w:t xml:space="preserve"> must be able to satisfy </w:t>
      </w:r>
      <w:r w:rsidR="0093273C">
        <w:rPr>
          <w:rFonts w:ascii="Arial" w:hAnsi="Arial" w:cs="Arial"/>
          <w:sz w:val="22"/>
          <w:szCs w:val="22"/>
          <w:lang w:eastAsia="en-US"/>
        </w:rPr>
        <w:t>itself</w:t>
      </w:r>
      <w:r w:rsidR="0019060B" w:rsidRPr="00BD305E">
        <w:rPr>
          <w:rFonts w:ascii="Arial" w:hAnsi="Arial" w:cs="Arial"/>
          <w:sz w:val="22"/>
          <w:szCs w:val="22"/>
          <w:lang w:eastAsia="en-US"/>
        </w:rPr>
        <w:t xml:space="preserve"> that the person requesting the data has the authority of the data subject.</w:t>
      </w:r>
      <w:r>
        <w:rPr>
          <w:rFonts w:ascii="Arial" w:hAnsi="Arial" w:cs="Arial"/>
          <w:sz w:val="22"/>
          <w:szCs w:val="22"/>
          <w:lang w:eastAsia="en-US"/>
        </w:rPr>
        <w:t xml:space="preserve"> </w:t>
      </w:r>
      <w:r w:rsidR="0019060B" w:rsidRPr="00BD305E">
        <w:rPr>
          <w:rFonts w:ascii="Arial" w:hAnsi="Arial" w:cs="Arial"/>
          <w:sz w:val="22"/>
          <w:szCs w:val="22"/>
          <w:lang w:eastAsia="en-US"/>
        </w:rPr>
        <w:t xml:space="preserve">The responsibility for providing the required authority rests with the third party </w:t>
      </w:r>
      <w:r>
        <w:rPr>
          <w:rFonts w:ascii="Arial" w:hAnsi="Arial" w:cs="Arial"/>
          <w:sz w:val="22"/>
          <w:szCs w:val="22"/>
          <w:lang w:eastAsia="en-US"/>
        </w:rPr>
        <w:t xml:space="preserve">this organisation will request that third parties use the </w:t>
      </w:r>
      <w:hyperlink r:id="rId43" w:history="1">
        <w:r w:rsidRPr="00095DE9">
          <w:rPr>
            <w:rStyle w:val="Hyperlink"/>
            <w:rFonts w:ascii="Arial" w:hAnsi="Arial" w:cs="Arial"/>
            <w:sz w:val="22"/>
            <w:szCs w:val="22"/>
            <w:lang w:eastAsia="en-US"/>
          </w:rPr>
          <w:t>BMA and Law Society consent form</w:t>
        </w:r>
      </w:hyperlink>
      <w:r>
        <w:rPr>
          <w:rFonts w:ascii="Arial" w:hAnsi="Arial" w:cs="Arial"/>
          <w:sz w:val="22"/>
          <w:szCs w:val="22"/>
          <w:lang w:eastAsia="en-US"/>
        </w:rPr>
        <w:t>.</w:t>
      </w:r>
      <w:r w:rsidR="0019060B" w:rsidRPr="00BD305E">
        <w:rPr>
          <w:rFonts w:ascii="Arial" w:hAnsi="Arial" w:cs="Arial"/>
          <w:sz w:val="22"/>
          <w:szCs w:val="22"/>
          <w:lang w:eastAsia="en-US"/>
        </w:rPr>
        <w:t xml:space="preserve">  </w:t>
      </w:r>
    </w:p>
    <w:p w14:paraId="19F76E17" w14:textId="6A964047" w:rsidR="00E65989" w:rsidRPr="00BD305E" w:rsidRDefault="00E65989" w:rsidP="00E65989">
      <w:pPr>
        <w:pStyle w:val="Heading2"/>
        <w:rPr>
          <w:rFonts w:ascii="Arial" w:hAnsi="Arial" w:cs="Arial"/>
          <w:smallCaps w:val="0"/>
          <w:sz w:val="24"/>
          <w:szCs w:val="24"/>
          <w:lang w:val="en-GB"/>
        </w:rPr>
      </w:pPr>
      <w:bookmarkStart w:id="89" w:name="_Toc515442581"/>
      <w:bookmarkStart w:id="90" w:name="_Toc43131925"/>
      <w:bookmarkStart w:id="91" w:name="_Toc160544106"/>
      <w:bookmarkEnd w:id="89"/>
      <w:r w:rsidRPr="00BD305E">
        <w:rPr>
          <w:rFonts w:ascii="Arial" w:hAnsi="Arial" w:cs="Arial"/>
          <w:smallCaps w:val="0"/>
          <w:sz w:val="24"/>
          <w:szCs w:val="24"/>
          <w:lang w:val="en-GB"/>
        </w:rPr>
        <w:t xml:space="preserve">Requests </w:t>
      </w:r>
      <w:bookmarkEnd w:id="90"/>
      <w:r w:rsidR="00A25716" w:rsidRPr="00BD305E">
        <w:rPr>
          <w:rFonts w:ascii="Arial" w:hAnsi="Arial" w:cs="Arial"/>
          <w:smallCaps w:val="0"/>
          <w:sz w:val="24"/>
          <w:szCs w:val="24"/>
          <w:lang w:val="en-GB"/>
        </w:rPr>
        <w:t>from solicitors</w:t>
      </w:r>
      <w:bookmarkEnd w:id="91"/>
      <w:r w:rsidR="00E34625" w:rsidRPr="00BD305E">
        <w:rPr>
          <w:rFonts w:ascii="Arial" w:hAnsi="Arial" w:cs="Arial"/>
          <w:sz w:val="22"/>
          <w:szCs w:val="22"/>
          <w:lang w:val="en-GB"/>
        </w:rPr>
        <w:t xml:space="preserve"> </w:t>
      </w:r>
    </w:p>
    <w:p w14:paraId="7DE66616" w14:textId="0AE75F98" w:rsidR="00E65989" w:rsidRPr="00BD305E" w:rsidRDefault="00E65989" w:rsidP="00EB1CEF"/>
    <w:p w14:paraId="75295447" w14:textId="078A5EEA" w:rsidR="00A25716" w:rsidRPr="00BD305E" w:rsidRDefault="00095DE9" w:rsidP="00EB1CEF">
      <w:pPr>
        <w:rPr>
          <w:rFonts w:ascii="Arial" w:hAnsi="Arial" w:cs="Arial"/>
          <w:sz w:val="22"/>
          <w:szCs w:val="22"/>
          <w:lang w:eastAsia="en-US"/>
        </w:rPr>
      </w:pPr>
      <w:r>
        <w:rPr>
          <w:rFonts w:ascii="Arial" w:hAnsi="Arial" w:cs="Arial"/>
          <w:sz w:val="22"/>
          <w:szCs w:val="22"/>
          <w:lang w:eastAsia="en-US"/>
        </w:rPr>
        <w:t xml:space="preserve">This organisation will receive SARs from third parties, such as solicitors, who have been authorised by a patient to make a SAR on their behalf. </w:t>
      </w:r>
      <w:r w:rsidR="00A25716" w:rsidRPr="00BD305E">
        <w:rPr>
          <w:rFonts w:ascii="Arial" w:hAnsi="Arial" w:cs="Arial"/>
          <w:sz w:val="22"/>
          <w:szCs w:val="22"/>
          <w:lang w:eastAsia="en-US"/>
        </w:rPr>
        <w:t xml:space="preserve">It is the responsibility of the third party to provide evidence that they are permitted to make a SAR on behalf </w:t>
      </w:r>
      <w:r w:rsidR="00A25716" w:rsidRPr="00BD305E">
        <w:rPr>
          <w:rFonts w:ascii="Arial" w:hAnsi="Arial" w:cs="Arial"/>
          <w:sz w:val="22"/>
          <w:szCs w:val="22"/>
          <w:lang w:eastAsia="en-US"/>
        </w:rPr>
        <w:lastRenderedPageBreak/>
        <w:t xml:space="preserve">of their client. If concern or doubt arises, </w:t>
      </w:r>
      <w:r w:rsidR="007D567A" w:rsidRPr="00BD305E">
        <w:rPr>
          <w:rFonts w:ascii="Arial" w:hAnsi="Arial" w:cs="Arial"/>
          <w:sz w:val="22"/>
          <w:szCs w:val="22"/>
          <w:lang w:eastAsia="en-US"/>
        </w:rPr>
        <w:t>this organisation</w:t>
      </w:r>
      <w:r w:rsidR="00E65989" w:rsidRPr="00BD305E">
        <w:rPr>
          <w:rFonts w:ascii="Arial" w:hAnsi="Arial" w:cs="Arial"/>
          <w:sz w:val="22"/>
          <w:szCs w:val="22"/>
          <w:lang w:eastAsia="en-US"/>
        </w:rPr>
        <w:t xml:space="preserve"> will </w:t>
      </w:r>
      <w:r w:rsidR="00C56C06" w:rsidRPr="00BD305E">
        <w:rPr>
          <w:rFonts w:ascii="Arial" w:hAnsi="Arial" w:cs="Arial"/>
          <w:sz w:val="22"/>
          <w:szCs w:val="22"/>
          <w:lang w:eastAsia="en-US"/>
        </w:rPr>
        <w:t xml:space="preserve">contact the patient to explain the extent of disclosure sought by the third party. </w:t>
      </w:r>
    </w:p>
    <w:p w14:paraId="1DB4FE87" w14:textId="77777777" w:rsidR="00A25716" w:rsidRPr="00BD305E" w:rsidRDefault="00A25716" w:rsidP="00EB1CEF">
      <w:pPr>
        <w:rPr>
          <w:rFonts w:ascii="Arial" w:hAnsi="Arial" w:cs="Arial"/>
          <w:sz w:val="22"/>
          <w:szCs w:val="22"/>
          <w:lang w:eastAsia="en-US"/>
        </w:rPr>
      </w:pPr>
    </w:p>
    <w:p w14:paraId="0FC71445" w14:textId="3FCCBC88" w:rsidR="00E65989" w:rsidRPr="00BD305E" w:rsidRDefault="00D04A9C" w:rsidP="00EB1CEF">
      <w:pPr>
        <w:rPr>
          <w:rFonts w:ascii="Arial" w:hAnsi="Arial" w:cs="Arial"/>
          <w:sz w:val="22"/>
          <w:szCs w:val="22"/>
          <w:lang w:eastAsia="en-US"/>
        </w:rPr>
      </w:pPr>
      <w:r>
        <w:rPr>
          <w:rFonts w:ascii="Arial" w:hAnsi="Arial" w:cs="Arial"/>
          <w:sz w:val="22"/>
          <w:szCs w:val="22"/>
          <w:lang w:eastAsia="en-US"/>
        </w:rPr>
        <w:t xml:space="preserve">This </w:t>
      </w:r>
      <w:r w:rsidR="00E91793">
        <w:rPr>
          <w:rFonts w:ascii="Arial" w:hAnsi="Arial" w:cs="Arial"/>
          <w:sz w:val="22"/>
          <w:szCs w:val="22"/>
          <w:lang w:eastAsia="en-US"/>
        </w:rPr>
        <w:t>organisation</w:t>
      </w:r>
      <w:r w:rsidR="00A25716" w:rsidRPr="00BD305E">
        <w:rPr>
          <w:rFonts w:ascii="Arial" w:hAnsi="Arial" w:cs="Arial"/>
          <w:sz w:val="22"/>
          <w:szCs w:val="22"/>
          <w:lang w:eastAsia="en-US"/>
        </w:rPr>
        <w:t xml:space="preserve"> </w:t>
      </w:r>
      <w:r w:rsidR="00C56C06" w:rsidRPr="00BD305E">
        <w:rPr>
          <w:rFonts w:ascii="Arial" w:hAnsi="Arial" w:cs="Arial"/>
          <w:sz w:val="22"/>
          <w:szCs w:val="22"/>
          <w:lang w:eastAsia="en-US"/>
        </w:rPr>
        <w:t xml:space="preserve">can then provide the patient with the </w:t>
      </w:r>
      <w:r w:rsidR="00A25716" w:rsidRPr="00BD305E">
        <w:rPr>
          <w:rFonts w:ascii="Arial" w:hAnsi="Arial" w:cs="Arial"/>
          <w:sz w:val="22"/>
          <w:szCs w:val="22"/>
          <w:lang w:eastAsia="en-US"/>
        </w:rPr>
        <w:t>data</w:t>
      </w:r>
      <w:r w:rsidR="00C56C06" w:rsidRPr="00BD305E">
        <w:rPr>
          <w:rFonts w:ascii="Arial" w:hAnsi="Arial" w:cs="Arial"/>
          <w:sz w:val="22"/>
          <w:szCs w:val="22"/>
          <w:lang w:eastAsia="en-US"/>
        </w:rPr>
        <w:t xml:space="preserve"> as opposed to </w:t>
      </w:r>
      <w:r w:rsidR="00A25716" w:rsidRPr="00BD305E">
        <w:rPr>
          <w:rFonts w:ascii="Arial" w:hAnsi="Arial" w:cs="Arial"/>
          <w:sz w:val="22"/>
          <w:szCs w:val="22"/>
          <w:lang w:eastAsia="en-US"/>
        </w:rPr>
        <w:t xml:space="preserve">directly disclosing it </w:t>
      </w:r>
      <w:r w:rsidR="003C69BA" w:rsidRPr="00BD305E">
        <w:rPr>
          <w:rFonts w:ascii="Arial" w:hAnsi="Arial" w:cs="Arial"/>
          <w:sz w:val="22"/>
          <w:szCs w:val="22"/>
          <w:lang w:eastAsia="en-US"/>
        </w:rPr>
        <w:t>to</w:t>
      </w:r>
      <w:r w:rsidR="00A25716" w:rsidRPr="00BD305E">
        <w:rPr>
          <w:rFonts w:ascii="Arial" w:hAnsi="Arial" w:cs="Arial"/>
          <w:sz w:val="22"/>
          <w:szCs w:val="22"/>
          <w:lang w:eastAsia="en-US"/>
        </w:rPr>
        <w:t xml:space="preserve"> the third party.</w:t>
      </w:r>
      <w:r w:rsidR="00C56C06" w:rsidRPr="00BD305E">
        <w:rPr>
          <w:rFonts w:ascii="Arial" w:hAnsi="Arial" w:cs="Arial"/>
          <w:sz w:val="22"/>
          <w:szCs w:val="22"/>
          <w:lang w:eastAsia="en-US"/>
        </w:rPr>
        <w:t xml:space="preserve"> The patient is then given the opportunity to review their </w:t>
      </w:r>
      <w:r w:rsidR="00A25716" w:rsidRPr="00BD305E">
        <w:rPr>
          <w:rFonts w:ascii="Arial" w:hAnsi="Arial" w:cs="Arial"/>
          <w:sz w:val="22"/>
          <w:szCs w:val="22"/>
          <w:lang w:eastAsia="en-US"/>
        </w:rPr>
        <w:t xml:space="preserve">data </w:t>
      </w:r>
      <w:r w:rsidR="00C56C06" w:rsidRPr="00BD305E">
        <w:rPr>
          <w:rFonts w:ascii="Arial" w:hAnsi="Arial" w:cs="Arial"/>
          <w:sz w:val="22"/>
          <w:szCs w:val="22"/>
          <w:lang w:eastAsia="en-US"/>
        </w:rPr>
        <w:t xml:space="preserve">and decide whether they are content to share the information with the </w:t>
      </w:r>
      <w:r w:rsidR="00A25716" w:rsidRPr="00BD305E">
        <w:rPr>
          <w:rFonts w:ascii="Arial" w:hAnsi="Arial" w:cs="Arial"/>
          <w:sz w:val="22"/>
          <w:szCs w:val="22"/>
          <w:lang w:eastAsia="en-US"/>
        </w:rPr>
        <w:t>third party</w:t>
      </w:r>
      <w:r w:rsidR="00C56C06" w:rsidRPr="00BD305E">
        <w:rPr>
          <w:rFonts w:ascii="Arial" w:hAnsi="Arial" w:cs="Arial"/>
          <w:sz w:val="22"/>
          <w:szCs w:val="22"/>
          <w:lang w:eastAsia="en-US"/>
        </w:rPr>
        <w:t>.</w:t>
      </w:r>
    </w:p>
    <w:p w14:paraId="6A652D8D" w14:textId="7F42BCDF" w:rsidR="00A25716" w:rsidRPr="00BD305E" w:rsidRDefault="00A25716" w:rsidP="00A25716">
      <w:pPr>
        <w:pStyle w:val="Heading2"/>
        <w:rPr>
          <w:rFonts w:ascii="Arial" w:hAnsi="Arial" w:cs="Arial"/>
          <w:smallCaps w:val="0"/>
          <w:sz w:val="24"/>
          <w:szCs w:val="24"/>
          <w:lang w:val="en-GB"/>
        </w:rPr>
      </w:pPr>
      <w:bookmarkStart w:id="92" w:name="_Toc160544107"/>
      <w:r w:rsidRPr="00BD305E">
        <w:rPr>
          <w:rFonts w:ascii="Arial" w:hAnsi="Arial" w:cs="Arial"/>
          <w:smallCaps w:val="0"/>
          <w:sz w:val="24"/>
          <w:szCs w:val="24"/>
          <w:lang w:val="en-GB"/>
        </w:rPr>
        <w:t>Requests from insurers</w:t>
      </w:r>
      <w:bookmarkEnd w:id="92"/>
      <w:r w:rsidRPr="00BD305E">
        <w:rPr>
          <w:rFonts w:ascii="Arial" w:hAnsi="Arial" w:cs="Arial"/>
          <w:sz w:val="22"/>
          <w:szCs w:val="22"/>
          <w:lang w:val="en-GB"/>
        </w:rPr>
        <w:t xml:space="preserve"> </w:t>
      </w:r>
    </w:p>
    <w:p w14:paraId="052E94B8" w14:textId="670BFDBB" w:rsidR="00C56C06" w:rsidRPr="00BD305E" w:rsidRDefault="00C56C06" w:rsidP="00EB1CEF">
      <w:pPr>
        <w:rPr>
          <w:rFonts w:ascii="Arial" w:hAnsi="Arial" w:cs="Arial"/>
          <w:sz w:val="22"/>
          <w:szCs w:val="22"/>
        </w:rPr>
      </w:pPr>
    </w:p>
    <w:p w14:paraId="65D8602E" w14:textId="77777777" w:rsidR="00E91793" w:rsidRPr="00E91793" w:rsidRDefault="00E91793" w:rsidP="00E91793">
      <w:pPr>
        <w:rPr>
          <w:rFonts w:ascii="Arial" w:hAnsi="Arial" w:cs="Arial"/>
          <w:sz w:val="22"/>
          <w:szCs w:val="22"/>
        </w:rPr>
      </w:pPr>
      <w:r w:rsidRPr="00E91793">
        <w:rPr>
          <w:rFonts w:ascii="Arial" w:hAnsi="Arial" w:cs="Arial"/>
          <w:sz w:val="22"/>
          <w:szCs w:val="22"/>
        </w:rPr>
        <w:t xml:space="preserve">SARs are not appropriate should an insurance company require health data to assess a claim. The correct process for this at this organisation is for the insurer to use the </w:t>
      </w:r>
      <w:hyperlink r:id="rId44" w:history="1">
        <w:r w:rsidRPr="00E91793">
          <w:rPr>
            <w:rStyle w:val="Hyperlink"/>
            <w:rFonts w:ascii="Arial" w:eastAsiaTheme="majorEastAsia" w:hAnsi="Arial" w:cs="Arial"/>
            <w:sz w:val="22"/>
            <w:szCs w:val="22"/>
          </w:rPr>
          <w:t>Access to Medical Reports Act 1988</w:t>
        </w:r>
      </w:hyperlink>
      <w:r w:rsidRPr="00E91793">
        <w:rPr>
          <w:rFonts w:ascii="Arial" w:hAnsi="Arial" w:cs="Arial"/>
          <w:sz w:val="22"/>
          <w:szCs w:val="22"/>
        </w:rPr>
        <w:t xml:space="preserve"> when requesting a GP report. </w:t>
      </w:r>
    </w:p>
    <w:p w14:paraId="636F75DA" w14:textId="77777777" w:rsidR="00E91793" w:rsidRDefault="00E91793" w:rsidP="00EB1CEF">
      <w:pPr>
        <w:rPr>
          <w:rFonts w:ascii="Arial" w:hAnsi="Arial" w:cs="Arial"/>
          <w:sz w:val="22"/>
          <w:szCs w:val="22"/>
          <w:lang w:eastAsia="en-US"/>
        </w:rPr>
      </w:pPr>
    </w:p>
    <w:p w14:paraId="23CAB33F" w14:textId="12FAE2AF" w:rsidR="00563D1E" w:rsidRPr="00BD305E" w:rsidRDefault="00563D1E" w:rsidP="00563D1E">
      <w:pPr>
        <w:pStyle w:val="Heading2"/>
        <w:rPr>
          <w:rFonts w:ascii="Arial" w:hAnsi="Arial" w:cs="Arial"/>
          <w:smallCaps w:val="0"/>
          <w:sz w:val="24"/>
          <w:szCs w:val="24"/>
          <w:lang w:val="en-GB"/>
        </w:rPr>
      </w:pPr>
      <w:bookmarkStart w:id="93" w:name="_Toc160544108"/>
      <w:r w:rsidRPr="00BD305E">
        <w:rPr>
          <w:rFonts w:ascii="Arial" w:hAnsi="Arial" w:cs="Arial"/>
          <w:smallCaps w:val="0"/>
          <w:sz w:val="24"/>
          <w:szCs w:val="24"/>
          <w:lang w:val="en-GB"/>
        </w:rPr>
        <w:t xml:space="preserve">Refusing to comply with a </w:t>
      </w:r>
      <w:r w:rsidR="0080618C" w:rsidRPr="00BD305E">
        <w:rPr>
          <w:rFonts w:ascii="Arial" w:hAnsi="Arial" w:cs="Arial"/>
          <w:smallCaps w:val="0"/>
          <w:sz w:val="24"/>
          <w:szCs w:val="24"/>
          <w:lang w:val="en-GB"/>
        </w:rPr>
        <w:t>SAR</w:t>
      </w:r>
      <w:bookmarkEnd w:id="93"/>
    </w:p>
    <w:p w14:paraId="4FB1D7CE" w14:textId="77777777" w:rsidR="004B548E" w:rsidRPr="00BD305E" w:rsidRDefault="004B548E" w:rsidP="00EB1CEF">
      <w:pPr>
        <w:rPr>
          <w:rFonts w:ascii="Arial" w:hAnsi="Arial" w:cs="Arial"/>
        </w:rPr>
      </w:pPr>
    </w:p>
    <w:p w14:paraId="3F6E1D18" w14:textId="1CBBF7DA" w:rsidR="0080618C" w:rsidRPr="00BD305E" w:rsidRDefault="00E91793" w:rsidP="00EB1CEF">
      <w:pPr>
        <w:rPr>
          <w:rFonts w:ascii="Arial" w:hAnsi="Arial" w:cs="Arial"/>
          <w:sz w:val="22"/>
          <w:szCs w:val="22"/>
        </w:rPr>
      </w:pPr>
      <w:r>
        <w:rPr>
          <w:rFonts w:ascii="Arial" w:hAnsi="Arial" w:cs="Arial"/>
          <w:sz w:val="22"/>
          <w:szCs w:val="22"/>
          <w:lang w:eastAsia="en-US"/>
        </w:rPr>
        <w:t xml:space="preserve">As detailed by the </w:t>
      </w:r>
      <w:hyperlink r:id="rId45" w:anchor=":~:text=If%20you%20fail%20to%20comply,case%2C%20what%20action%20to%20take." w:history="1">
        <w:r w:rsidRPr="00E91793">
          <w:rPr>
            <w:rStyle w:val="Hyperlink"/>
            <w:rFonts w:ascii="Arial" w:hAnsi="Arial" w:cs="Arial"/>
            <w:sz w:val="22"/>
            <w:szCs w:val="22"/>
            <w:lang w:eastAsia="en-US"/>
          </w:rPr>
          <w:t>ICO</w:t>
        </w:r>
      </w:hyperlink>
      <w:r>
        <w:rPr>
          <w:rFonts w:ascii="Arial" w:hAnsi="Arial" w:cs="Arial"/>
          <w:sz w:val="22"/>
          <w:szCs w:val="22"/>
          <w:lang w:eastAsia="en-US"/>
        </w:rPr>
        <w:t>, t</w:t>
      </w:r>
      <w:r w:rsidR="00B2360B" w:rsidRPr="00BD305E">
        <w:rPr>
          <w:rFonts w:ascii="Arial" w:hAnsi="Arial" w:cs="Arial"/>
          <w:sz w:val="22"/>
          <w:szCs w:val="22"/>
          <w:lang w:eastAsia="en-US"/>
        </w:rPr>
        <w:t>his organisation</w:t>
      </w:r>
      <w:r w:rsidR="00B2360B" w:rsidRPr="00BD305E" w:rsidDel="00B2360B">
        <w:rPr>
          <w:rFonts w:ascii="Arial" w:hAnsi="Arial" w:cs="Arial"/>
          <w:sz w:val="22"/>
          <w:szCs w:val="22"/>
        </w:rPr>
        <w:t xml:space="preserve"> </w:t>
      </w:r>
      <w:r w:rsidR="0080618C" w:rsidRPr="00BD305E">
        <w:rPr>
          <w:rFonts w:ascii="Arial" w:hAnsi="Arial" w:cs="Arial"/>
          <w:sz w:val="22"/>
          <w:szCs w:val="22"/>
        </w:rPr>
        <w:t>will only refuse to comply with a SAR whe</w:t>
      </w:r>
      <w:r w:rsidR="0093273C">
        <w:rPr>
          <w:rFonts w:ascii="Arial" w:hAnsi="Arial" w:cs="Arial"/>
          <w:sz w:val="22"/>
          <w:szCs w:val="22"/>
        </w:rPr>
        <w:t>n</w:t>
      </w:r>
      <w:r w:rsidR="0080618C" w:rsidRPr="00BD305E">
        <w:rPr>
          <w:rFonts w:ascii="Arial" w:hAnsi="Arial" w:cs="Arial"/>
          <w:sz w:val="22"/>
          <w:szCs w:val="22"/>
        </w:rPr>
        <w:t xml:space="preserve"> exemption applies or when the request is manifestly unfounded or manifestly excessive. In such situations, the </w:t>
      </w:r>
      <w:r>
        <w:rPr>
          <w:rFonts w:ascii="Arial" w:hAnsi="Arial" w:cs="Arial"/>
          <w:sz w:val="22"/>
          <w:szCs w:val="22"/>
        </w:rPr>
        <w:t>organisation</w:t>
      </w:r>
      <w:r w:rsidR="0080618C" w:rsidRPr="00BD305E">
        <w:rPr>
          <w:rFonts w:ascii="Arial" w:hAnsi="Arial" w:cs="Arial"/>
          <w:sz w:val="22"/>
          <w:szCs w:val="22"/>
        </w:rPr>
        <w:t xml:space="preserve"> will inform the individual of:</w:t>
      </w:r>
    </w:p>
    <w:p w14:paraId="774CEEEE" w14:textId="5D770995" w:rsidR="0080618C" w:rsidRPr="00BD305E" w:rsidRDefault="0080618C" w:rsidP="00EB1CEF">
      <w:pPr>
        <w:rPr>
          <w:rFonts w:ascii="Arial" w:hAnsi="Arial" w:cs="Arial"/>
          <w:sz w:val="22"/>
          <w:szCs w:val="22"/>
        </w:rPr>
      </w:pPr>
    </w:p>
    <w:p w14:paraId="3AB79356" w14:textId="4DC29317" w:rsidR="0080618C" w:rsidRPr="00BD305E" w:rsidRDefault="0080618C" w:rsidP="0080618C">
      <w:pPr>
        <w:pStyle w:val="ListParagraph"/>
        <w:numPr>
          <w:ilvl w:val="0"/>
          <w:numId w:val="34"/>
        </w:numPr>
        <w:rPr>
          <w:rFonts w:ascii="Arial" w:hAnsi="Arial" w:cs="Arial"/>
        </w:rPr>
      </w:pPr>
      <w:r w:rsidRPr="00BD305E">
        <w:rPr>
          <w:rFonts w:ascii="Arial" w:hAnsi="Arial" w:cs="Arial"/>
        </w:rPr>
        <w:t>The reasons why the SAR was refused</w:t>
      </w:r>
    </w:p>
    <w:p w14:paraId="685EB647" w14:textId="3E492E46" w:rsidR="00D02324" w:rsidRPr="00BD305E" w:rsidRDefault="0080618C" w:rsidP="0080618C">
      <w:pPr>
        <w:pStyle w:val="ListParagraph"/>
        <w:numPr>
          <w:ilvl w:val="0"/>
          <w:numId w:val="34"/>
        </w:numPr>
        <w:rPr>
          <w:rFonts w:ascii="Arial" w:hAnsi="Arial" w:cs="Arial"/>
        </w:rPr>
      </w:pPr>
      <w:r w:rsidRPr="00BD305E">
        <w:rPr>
          <w:rFonts w:ascii="Arial" w:hAnsi="Arial" w:cs="Arial"/>
        </w:rPr>
        <w:t>Their right to submit a complaint to the I</w:t>
      </w:r>
      <w:r w:rsidR="003E4526" w:rsidRPr="00BD305E">
        <w:rPr>
          <w:rFonts w:ascii="Arial" w:hAnsi="Arial" w:cs="Arial"/>
        </w:rPr>
        <w:t>CO</w:t>
      </w:r>
    </w:p>
    <w:p w14:paraId="3C91B8BD" w14:textId="45F1F2FE" w:rsidR="0080618C" w:rsidRPr="00BD305E" w:rsidRDefault="00D02324" w:rsidP="0080618C">
      <w:pPr>
        <w:pStyle w:val="ListParagraph"/>
        <w:numPr>
          <w:ilvl w:val="0"/>
          <w:numId w:val="34"/>
        </w:numPr>
        <w:rPr>
          <w:rFonts w:ascii="Arial" w:hAnsi="Arial" w:cs="Arial"/>
        </w:rPr>
      </w:pPr>
      <w:r w:rsidRPr="00BD305E">
        <w:rPr>
          <w:rFonts w:ascii="Arial" w:hAnsi="Arial" w:cs="Arial"/>
        </w:rPr>
        <w:t>Their ability to seek enforcement of this right through the courts</w:t>
      </w:r>
      <w:r w:rsidR="0080618C" w:rsidRPr="00BD305E">
        <w:rPr>
          <w:rFonts w:ascii="Arial" w:hAnsi="Arial" w:cs="Arial"/>
        </w:rPr>
        <w:t xml:space="preserve"> </w:t>
      </w:r>
    </w:p>
    <w:p w14:paraId="6E03CCC4" w14:textId="37A9BFF1" w:rsidR="00D02324" w:rsidRPr="00BD305E" w:rsidRDefault="00D02324" w:rsidP="00D02324">
      <w:pPr>
        <w:rPr>
          <w:rFonts w:ascii="Arial" w:hAnsi="Arial" w:cs="Arial"/>
        </w:rPr>
      </w:pPr>
    </w:p>
    <w:p w14:paraId="78EBB7F3" w14:textId="58290341" w:rsidR="008A582C" w:rsidRDefault="00D02324" w:rsidP="00D02324">
      <w:pPr>
        <w:rPr>
          <w:rFonts w:ascii="Arial" w:hAnsi="Arial" w:cs="Arial"/>
          <w:sz w:val="22"/>
          <w:szCs w:val="22"/>
        </w:rPr>
      </w:pPr>
      <w:r w:rsidRPr="00BD305E">
        <w:rPr>
          <w:rFonts w:ascii="Arial" w:hAnsi="Arial" w:cs="Arial"/>
          <w:sz w:val="22"/>
          <w:szCs w:val="22"/>
        </w:rPr>
        <w:t xml:space="preserve">Each request must be given careful </w:t>
      </w:r>
      <w:r w:rsidR="004A45AA" w:rsidRPr="00BD305E">
        <w:rPr>
          <w:rFonts w:ascii="Arial" w:hAnsi="Arial" w:cs="Arial"/>
          <w:sz w:val="22"/>
          <w:szCs w:val="22"/>
        </w:rPr>
        <w:t>consideration</w:t>
      </w:r>
      <w:r w:rsidRPr="00BD305E">
        <w:rPr>
          <w:rFonts w:ascii="Arial" w:hAnsi="Arial" w:cs="Arial"/>
          <w:sz w:val="22"/>
          <w:szCs w:val="22"/>
        </w:rPr>
        <w:t xml:space="preserve"> and</w:t>
      </w:r>
      <w:r w:rsidR="0093273C">
        <w:rPr>
          <w:rFonts w:ascii="Arial" w:hAnsi="Arial" w:cs="Arial"/>
          <w:sz w:val="22"/>
          <w:szCs w:val="22"/>
        </w:rPr>
        <w:t>,</w:t>
      </w:r>
      <w:r w:rsidRPr="00BD305E">
        <w:rPr>
          <w:rFonts w:ascii="Arial" w:hAnsi="Arial" w:cs="Arial"/>
          <w:sz w:val="22"/>
          <w:szCs w:val="22"/>
        </w:rPr>
        <w:t xml:space="preserve"> should </w:t>
      </w:r>
      <w:r w:rsidR="00E91793">
        <w:rPr>
          <w:rFonts w:ascii="Arial" w:hAnsi="Arial" w:cs="Arial"/>
          <w:sz w:val="22"/>
          <w:szCs w:val="22"/>
        </w:rPr>
        <w:t>this organisation</w:t>
      </w:r>
      <w:r w:rsidRPr="00BD305E">
        <w:rPr>
          <w:rFonts w:ascii="Arial" w:hAnsi="Arial" w:cs="Arial"/>
          <w:sz w:val="22"/>
          <w:szCs w:val="22"/>
        </w:rPr>
        <w:t xml:space="preserve"> refuse to comply, this must be recorded and the reasons for refusal justifiable.</w:t>
      </w:r>
    </w:p>
    <w:p w14:paraId="16AC01AD" w14:textId="5A2E8F39" w:rsidR="003C4936" w:rsidRPr="00BD305E" w:rsidRDefault="003C4936" w:rsidP="003C4936">
      <w:pPr>
        <w:pStyle w:val="Heading1"/>
        <w:keepLines/>
        <w:pBdr>
          <w:bottom w:val="single" w:sz="4" w:space="1" w:color="595959" w:themeColor="text1" w:themeTint="A6"/>
        </w:pBdr>
        <w:spacing w:before="360" w:after="160" w:line="259" w:lineRule="auto"/>
        <w:rPr>
          <w:sz w:val="28"/>
          <w:szCs w:val="28"/>
        </w:rPr>
      </w:pPr>
      <w:bookmarkStart w:id="94" w:name="_Toc515442584"/>
      <w:bookmarkStart w:id="95" w:name="_Toc43131926"/>
      <w:bookmarkStart w:id="96" w:name="_Toc160544109"/>
      <w:bookmarkEnd w:id="94"/>
      <w:r w:rsidRPr="00BD305E">
        <w:rPr>
          <w:sz w:val="28"/>
          <w:szCs w:val="28"/>
        </w:rPr>
        <w:t>Data breaches</w:t>
      </w:r>
      <w:bookmarkEnd w:id="95"/>
      <w:bookmarkEnd w:id="96"/>
    </w:p>
    <w:p w14:paraId="01D15A24" w14:textId="0B220015" w:rsidR="003C4936" w:rsidRPr="00BD305E" w:rsidRDefault="003C4936" w:rsidP="003C4936">
      <w:pPr>
        <w:pStyle w:val="Heading2"/>
        <w:rPr>
          <w:rFonts w:ascii="Arial" w:hAnsi="Arial" w:cs="Arial"/>
          <w:smallCaps w:val="0"/>
          <w:sz w:val="24"/>
          <w:szCs w:val="24"/>
          <w:lang w:val="en-GB"/>
        </w:rPr>
      </w:pPr>
      <w:bookmarkStart w:id="97" w:name="_Toc43131927"/>
      <w:bookmarkStart w:id="98" w:name="_Toc160544110"/>
      <w:r w:rsidRPr="00BD305E">
        <w:rPr>
          <w:rFonts w:ascii="Arial" w:hAnsi="Arial" w:cs="Arial"/>
          <w:smallCaps w:val="0"/>
          <w:sz w:val="24"/>
          <w:szCs w:val="24"/>
          <w:lang w:val="en-GB"/>
        </w:rPr>
        <w:t>Data breach definition</w:t>
      </w:r>
      <w:bookmarkEnd w:id="97"/>
      <w:bookmarkEnd w:id="98"/>
    </w:p>
    <w:p w14:paraId="3269D762" w14:textId="21789575" w:rsidR="003C4936" w:rsidRPr="00BD305E" w:rsidRDefault="003C4936" w:rsidP="003C4936">
      <w:pPr>
        <w:rPr>
          <w:lang w:eastAsia="en-US"/>
        </w:rPr>
      </w:pPr>
    </w:p>
    <w:p w14:paraId="2A0A6E97" w14:textId="386EB5A5" w:rsidR="003C4936" w:rsidRPr="00BD305E" w:rsidRDefault="00E91793" w:rsidP="003C4936">
      <w:pPr>
        <w:rPr>
          <w:rFonts w:ascii="Arial" w:hAnsi="Arial" w:cs="Arial"/>
          <w:sz w:val="22"/>
          <w:szCs w:val="22"/>
          <w:lang w:eastAsia="en-US"/>
        </w:rPr>
      </w:pPr>
      <w:r>
        <w:rPr>
          <w:rFonts w:ascii="Arial" w:hAnsi="Arial" w:cs="Arial"/>
          <w:sz w:val="22"/>
          <w:szCs w:val="22"/>
          <w:lang w:eastAsia="en-US"/>
        </w:rPr>
        <w:t xml:space="preserve">The </w:t>
      </w:r>
      <w:hyperlink r:id="rId46" w:history="1">
        <w:r w:rsidRPr="004A45AA">
          <w:rPr>
            <w:rStyle w:val="Hyperlink"/>
            <w:rFonts w:ascii="Arial" w:hAnsi="Arial" w:cs="Arial"/>
            <w:sz w:val="22"/>
            <w:szCs w:val="22"/>
            <w:lang w:eastAsia="en-US"/>
          </w:rPr>
          <w:t>ICO</w:t>
        </w:r>
      </w:hyperlink>
      <w:r>
        <w:rPr>
          <w:rFonts w:ascii="Arial" w:hAnsi="Arial" w:cs="Arial"/>
          <w:sz w:val="22"/>
          <w:szCs w:val="22"/>
          <w:lang w:eastAsia="en-US"/>
        </w:rPr>
        <w:t xml:space="preserve"> define</w:t>
      </w:r>
      <w:r w:rsidR="0093273C">
        <w:rPr>
          <w:rFonts w:ascii="Arial" w:hAnsi="Arial" w:cs="Arial"/>
          <w:sz w:val="22"/>
          <w:szCs w:val="22"/>
          <w:lang w:eastAsia="en-US"/>
        </w:rPr>
        <w:t>s</w:t>
      </w:r>
      <w:r>
        <w:rPr>
          <w:rFonts w:ascii="Arial" w:hAnsi="Arial" w:cs="Arial"/>
          <w:sz w:val="22"/>
          <w:szCs w:val="22"/>
          <w:lang w:eastAsia="en-US"/>
        </w:rPr>
        <w:t xml:space="preserve"> a data breach as a breach of security leading to the accidental or unlawful destruction, loss, alteration, unauthorised disclose of, or access to, personal data. </w:t>
      </w:r>
      <w:r w:rsidR="004A45AA">
        <w:rPr>
          <w:rFonts w:ascii="Arial" w:hAnsi="Arial" w:cs="Arial"/>
          <w:sz w:val="22"/>
          <w:szCs w:val="22"/>
          <w:lang w:eastAsia="en-US"/>
        </w:rPr>
        <w:t xml:space="preserve">This includes breaches that are the result of both accidental and deliberate causes. </w:t>
      </w:r>
      <w:r w:rsidR="006C3CFB" w:rsidRPr="00BD305E">
        <w:rPr>
          <w:rFonts w:ascii="Arial" w:hAnsi="Arial" w:cs="Arial"/>
          <w:sz w:val="22"/>
          <w:szCs w:val="22"/>
          <w:lang w:eastAsia="en-US"/>
        </w:rPr>
        <w:t>Examples of data breaches include:</w:t>
      </w:r>
    </w:p>
    <w:p w14:paraId="620132AC" w14:textId="6301D0D7" w:rsidR="006C3CFB" w:rsidRPr="00BD305E" w:rsidRDefault="006C3CFB" w:rsidP="003C4936">
      <w:pPr>
        <w:rPr>
          <w:rFonts w:ascii="Arial" w:hAnsi="Arial" w:cs="Arial"/>
          <w:sz w:val="22"/>
          <w:szCs w:val="22"/>
          <w:lang w:eastAsia="en-US"/>
        </w:rPr>
      </w:pPr>
    </w:p>
    <w:p w14:paraId="79BE618E" w14:textId="6ED2AF36" w:rsidR="003335E7" w:rsidRPr="00BD305E" w:rsidRDefault="00771E2E" w:rsidP="00453DA5">
      <w:pPr>
        <w:pStyle w:val="ListParagraph"/>
        <w:numPr>
          <w:ilvl w:val="0"/>
          <w:numId w:val="6"/>
        </w:numPr>
        <w:rPr>
          <w:rFonts w:ascii="Arial" w:hAnsi="Arial" w:cs="Arial"/>
        </w:rPr>
      </w:pPr>
      <w:r w:rsidRPr="00BD305E">
        <w:rPr>
          <w:rFonts w:ascii="Arial" w:hAnsi="Arial" w:cs="Arial"/>
        </w:rPr>
        <w:t>Access by an unauthorised third party</w:t>
      </w:r>
    </w:p>
    <w:p w14:paraId="244E924E" w14:textId="23989FF5" w:rsidR="003335E7" w:rsidRPr="00BD305E" w:rsidRDefault="00771E2E" w:rsidP="00453DA5">
      <w:pPr>
        <w:pStyle w:val="ListParagraph"/>
        <w:numPr>
          <w:ilvl w:val="0"/>
          <w:numId w:val="6"/>
        </w:numPr>
        <w:rPr>
          <w:rFonts w:ascii="Arial" w:hAnsi="Arial" w:cs="Arial"/>
        </w:rPr>
      </w:pPr>
      <w:r w:rsidRPr="00BD305E">
        <w:rPr>
          <w:rFonts w:ascii="Arial" w:hAnsi="Arial" w:cs="Arial"/>
        </w:rPr>
        <w:t xml:space="preserve">Deliberate or accidental action (or inaction) by a </w:t>
      </w:r>
      <w:r w:rsidR="003C69BA" w:rsidRPr="00BD305E">
        <w:rPr>
          <w:rFonts w:ascii="Arial" w:hAnsi="Arial" w:cs="Arial"/>
        </w:rPr>
        <w:t xml:space="preserve">data </w:t>
      </w:r>
      <w:r w:rsidRPr="00BD305E">
        <w:rPr>
          <w:rFonts w:ascii="Arial" w:hAnsi="Arial" w:cs="Arial"/>
        </w:rPr>
        <w:t>controller or processor</w:t>
      </w:r>
    </w:p>
    <w:p w14:paraId="06ED2F52" w14:textId="313D3EDD" w:rsidR="003335E7" w:rsidRPr="00BD305E" w:rsidRDefault="00771E2E" w:rsidP="00453DA5">
      <w:pPr>
        <w:pStyle w:val="ListParagraph"/>
        <w:numPr>
          <w:ilvl w:val="0"/>
          <w:numId w:val="6"/>
        </w:numPr>
        <w:rPr>
          <w:rFonts w:ascii="Arial" w:hAnsi="Arial" w:cs="Arial"/>
        </w:rPr>
      </w:pPr>
      <w:r w:rsidRPr="00BD305E">
        <w:rPr>
          <w:rFonts w:ascii="Arial" w:hAnsi="Arial" w:cs="Arial"/>
        </w:rPr>
        <w:t>Sending personal data to an incorrect recipient</w:t>
      </w:r>
    </w:p>
    <w:p w14:paraId="3F456743" w14:textId="15A17B5B" w:rsidR="003335E7" w:rsidRPr="00BD305E" w:rsidRDefault="00771E2E" w:rsidP="00453DA5">
      <w:pPr>
        <w:pStyle w:val="ListParagraph"/>
        <w:numPr>
          <w:ilvl w:val="0"/>
          <w:numId w:val="6"/>
        </w:numPr>
        <w:rPr>
          <w:rFonts w:ascii="Arial" w:hAnsi="Arial" w:cs="Arial"/>
        </w:rPr>
      </w:pPr>
      <w:r w:rsidRPr="00BD305E">
        <w:rPr>
          <w:rFonts w:ascii="Arial" w:hAnsi="Arial" w:cs="Arial"/>
        </w:rPr>
        <w:t>Loss or theft of computer devices containing personal data</w:t>
      </w:r>
    </w:p>
    <w:p w14:paraId="294C5124" w14:textId="6F060814" w:rsidR="003335E7" w:rsidRPr="00BD305E" w:rsidRDefault="00771E2E" w:rsidP="00453DA5">
      <w:pPr>
        <w:pStyle w:val="ListParagraph"/>
        <w:numPr>
          <w:ilvl w:val="0"/>
          <w:numId w:val="6"/>
        </w:numPr>
        <w:rPr>
          <w:rFonts w:ascii="Arial" w:hAnsi="Arial" w:cs="Arial"/>
        </w:rPr>
      </w:pPr>
      <w:r w:rsidRPr="00BD305E">
        <w:rPr>
          <w:rFonts w:ascii="Arial" w:hAnsi="Arial" w:cs="Arial"/>
        </w:rPr>
        <w:t>Alteration of personal data without permission</w:t>
      </w:r>
    </w:p>
    <w:p w14:paraId="544D4EF3" w14:textId="09DC981B" w:rsidR="00771E2E" w:rsidRPr="00BD305E" w:rsidRDefault="00771E2E" w:rsidP="00204801">
      <w:pPr>
        <w:pStyle w:val="ListParagraph"/>
        <w:numPr>
          <w:ilvl w:val="0"/>
          <w:numId w:val="6"/>
        </w:numPr>
        <w:rPr>
          <w:rFonts w:ascii="Arial" w:hAnsi="Arial" w:cs="Arial"/>
        </w:rPr>
      </w:pPr>
      <w:r w:rsidRPr="00BD305E">
        <w:rPr>
          <w:rFonts w:ascii="Arial" w:hAnsi="Arial" w:cs="Arial"/>
        </w:rPr>
        <w:t>Loss of availability of personal data</w:t>
      </w:r>
    </w:p>
    <w:p w14:paraId="6EC3FE40" w14:textId="098BDE34" w:rsidR="00771E2E" w:rsidRPr="00BD305E" w:rsidRDefault="00771E2E" w:rsidP="00771E2E">
      <w:pPr>
        <w:rPr>
          <w:rFonts w:ascii="Arial" w:hAnsi="Arial" w:cs="Arial"/>
          <w:sz w:val="22"/>
          <w:szCs w:val="22"/>
        </w:rPr>
      </w:pPr>
    </w:p>
    <w:p w14:paraId="3B35B7C2" w14:textId="240287F9" w:rsidR="00E956F7" w:rsidRPr="00BD305E" w:rsidRDefault="004A45AA" w:rsidP="005536AA">
      <w:pPr>
        <w:rPr>
          <w:rFonts w:ascii="Arial" w:hAnsi="Arial" w:cs="Arial"/>
          <w:sz w:val="22"/>
          <w:szCs w:val="22"/>
        </w:rPr>
      </w:pPr>
      <w:r>
        <w:rPr>
          <w:rFonts w:ascii="Arial" w:hAnsi="Arial" w:cs="Arial"/>
          <w:sz w:val="22"/>
          <w:szCs w:val="22"/>
        </w:rPr>
        <w:lastRenderedPageBreak/>
        <w:t xml:space="preserve">A personal data breach can be broadly defined as a security incident that has affected the confidentiality, integrity or availability of personal data. </w:t>
      </w:r>
    </w:p>
    <w:p w14:paraId="70D7E5BD" w14:textId="60416ECF" w:rsidR="00241E23" w:rsidRPr="00BD305E" w:rsidRDefault="00241E23" w:rsidP="00241E23">
      <w:pPr>
        <w:pStyle w:val="Heading2"/>
        <w:rPr>
          <w:rFonts w:ascii="Arial" w:hAnsi="Arial" w:cs="Arial"/>
          <w:smallCaps w:val="0"/>
          <w:sz w:val="24"/>
          <w:szCs w:val="24"/>
          <w:lang w:val="en-GB"/>
        </w:rPr>
      </w:pPr>
      <w:bookmarkStart w:id="99" w:name="_Toc43131928"/>
      <w:bookmarkStart w:id="100" w:name="_Toc160544111"/>
      <w:r w:rsidRPr="00BD305E">
        <w:rPr>
          <w:rFonts w:ascii="Arial" w:hAnsi="Arial" w:cs="Arial"/>
          <w:smallCaps w:val="0"/>
          <w:sz w:val="24"/>
          <w:szCs w:val="24"/>
          <w:lang w:val="en-GB"/>
        </w:rPr>
        <w:t>Reporting a data breach</w:t>
      </w:r>
      <w:bookmarkEnd w:id="99"/>
      <w:bookmarkEnd w:id="100"/>
    </w:p>
    <w:p w14:paraId="4944D81C" w14:textId="71238D00" w:rsidR="00241E23" w:rsidRPr="00BD305E" w:rsidRDefault="00241E23" w:rsidP="00241E23">
      <w:pPr>
        <w:rPr>
          <w:lang w:eastAsia="en-US"/>
        </w:rPr>
      </w:pPr>
    </w:p>
    <w:p w14:paraId="6DDE3209" w14:textId="7337C700" w:rsidR="004A45AA" w:rsidRPr="008662E9" w:rsidRDefault="004A45AA" w:rsidP="004A45AA">
      <w:pPr>
        <w:rPr>
          <w:rFonts w:ascii="Arial" w:hAnsi="Arial" w:cs="Arial"/>
          <w:sz w:val="22"/>
          <w:szCs w:val="22"/>
        </w:rPr>
      </w:pPr>
      <w:r w:rsidRPr="008662E9">
        <w:rPr>
          <w:rFonts w:ascii="Arial" w:hAnsi="Arial" w:cs="Arial"/>
          <w:sz w:val="22"/>
          <w:szCs w:val="22"/>
        </w:rPr>
        <w:t xml:space="preserve">The </w:t>
      </w:r>
      <w:hyperlink r:id="rId47" w:history="1">
        <w:r w:rsidRPr="008662E9">
          <w:rPr>
            <w:rStyle w:val="Hyperlink"/>
            <w:rFonts w:ascii="Arial" w:hAnsi="Arial" w:cs="Arial"/>
            <w:sz w:val="22"/>
            <w:szCs w:val="22"/>
          </w:rPr>
          <w:t>I</w:t>
        </w:r>
        <w:r w:rsidR="006B16BA">
          <w:rPr>
            <w:rStyle w:val="Hyperlink"/>
            <w:rFonts w:ascii="Arial" w:hAnsi="Arial" w:cs="Arial"/>
            <w:sz w:val="22"/>
            <w:szCs w:val="22"/>
          </w:rPr>
          <w:t>CO</w:t>
        </w:r>
      </w:hyperlink>
      <w:r w:rsidRPr="008662E9">
        <w:rPr>
          <w:rFonts w:ascii="Arial" w:hAnsi="Arial" w:cs="Arial"/>
          <w:sz w:val="22"/>
          <w:szCs w:val="22"/>
        </w:rPr>
        <w:t xml:space="preserve"> explain</w:t>
      </w:r>
      <w:r>
        <w:rPr>
          <w:rFonts w:ascii="Arial" w:hAnsi="Arial" w:cs="Arial"/>
          <w:sz w:val="22"/>
          <w:szCs w:val="22"/>
        </w:rPr>
        <w:t>s</w:t>
      </w:r>
      <w:r w:rsidRPr="008662E9">
        <w:rPr>
          <w:rFonts w:ascii="Arial" w:hAnsi="Arial" w:cs="Arial"/>
          <w:sz w:val="22"/>
          <w:szCs w:val="22"/>
        </w:rPr>
        <w:t xml:space="preserve"> that the UK GDPR introduced a duty on all organisations to report certain types of data breach to the relevant supervisory authority</w:t>
      </w:r>
      <w:r>
        <w:rPr>
          <w:rFonts w:ascii="Arial" w:hAnsi="Arial" w:cs="Arial"/>
          <w:sz w:val="22"/>
          <w:szCs w:val="22"/>
        </w:rPr>
        <w:t xml:space="preserve"> (the ICO) within 72 hours of becoming aware of the breach</w:t>
      </w:r>
      <w:r w:rsidRPr="008662E9">
        <w:rPr>
          <w:rFonts w:ascii="Arial" w:hAnsi="Arial" w:cs="Arial"/>
          <w:sz w:val="22"/>
          <w:szCs w:val="22"/>
        </w:rPr>
        <w:t xml:space="preserve">. If a breach is likely to result in a high risk to the rights and freedoms of individuals, the UK GDPR states that those individuals must also be informed directly and without undue delay. </w:t>
      </w:r>
    </w:p>
    <w:p w14:paraId="00328593" w14:textId="77777777" w:rsidR="004A45AA" w:rsidRPr="008662E9" w:rsidRDefault="004A45AA" w:rsidP="004A45AA">
      <w:pPr>
        <w:rPr>
          <w:rFonts w:ascii="Arial" w:hAnsi="Arial" w:cs="Arial"/>
          <w:sz w:val="22"/>
          <w:szCs w:val="22"/>
        </w:rPr>
      </w:pPr>
    </w:p>
    <w:p w14:paraId="2D3B0716" w14:textId="106B0784" w:rsidR="004A45AA" w:rsidRPr="008662E9" w:rsidRDefault="004A45AA" w:rsidP="004A45AA">
      <w:pPr>
        <w:rPr>
          <w:rFonts w:ascii="Arial" w:hAnsi="Arial" w:cs="Arial"/>
          <w:sz w:val="22"/>
          <w:szCs w:val="22"/>
        </w:rPr>
      </w:pPr>
      <w:r w:rsidRPr="008662E9">
        <w:rPr>
          <w:rFonts w:ascii="Arial" w:hAnsi="Arial" w:cs="Arial"/>
          <w:sz w:val="22"/>
          <w:szCs w:val="22"/>
        </w:rPr>
        <w:t>The above must be assessed on a case-by-case basis by the organisation’s D</w:t>
      </w:r>
      <w:r>
        <w:rPr>
          <w:rFonts w:ascii="Arial" w:hAnsi="Arial" w:cs="Arial"/>
          <w:sz w:val="22"/>
          <w:szCs w:val="22"/>
        </w:rPr>
        <w:t xml:space="preserve">ata </w:t>
      </w:r>
      <w:r w:rsidRPr="008662E9">
        <w:rPr>
          <w:rFonts w:ascii="Arial" w:hAnsi="Arial" w:cs="Arial"/>
          <w:sz w:val="22"/>
          <w:szCs w:val="22"/>
        </w:rPr>
        <w:t>P</w:t>
      </w:r>
      <w:r>
        <w:rPr>
          <w:rFonts w:ascii="Arial" w:hAnsi="Arial" w:cs="Arial"/>
          <w:sz w:val="22"/>
          <w:szCs w:val="22"/>
        </w:rPr>
        <w:t xml:space="preserve">rotection </w:t>
      </w:r>
      <w:r w:rsidRPr="008662E9">
        <w:rPr>
          <w:rFonts w:ascii="Arial" w:hAnsi="Arial" w:cs="Arial"/>
          <w:sz w:val="22"/>
          <w:szCs w:val="22"/>
        </w:rPr>
        <w:t>O</w:t>
      </w:r>
      <w:r>
        <w:rPr>
          <w:rFonts w:ascii="Arial" w:hAnsi="Arial" w:cs="Arial"/>
          <w:sz w:val="22"/>
          <w:szCs w:val="22"/>
        </w:rPr>
        <w:t>fficer (DPO)</w:t>
      </w:r>
      <w:r w:rsidRPr="008662E9">
        <w:rPr>
          <w:rFonts w:ascii="Arial" w:hAnsi="Arial" w:cs="Arial"/>
          <w:sz w:val="22"/>
          <w:szCs w:val="22"/>
        </w:rPr>
        <w:t xml:space="preserve"> and S</w:t>
      </w:r>
      <w:r>
        <w:rPr>
          <w:rFonts w:ascii="Arial" w:hAnsi="Arial" w:cs="Arial"/>
          <w:sz w:val="22"/>
          <w:szCs w:val="22"/>
        </w:rPr>
        <w:t xml:space="preserve">enior </w:t>
      </w:r>
      <w:r w:rsidRPr="008662E9">
        <w:rPr>
          <w:rFonts w:ascii="Arial" w:hAnsi="Arial" w:cs="Arial"/>
          <w:sz w:val="22"/>
          <w:szCs w:val="22"/>
        </w:rPr>
        <w:t>I</w:t>
      </w:r>
      <w:r>
        <w:rPr>
          <w:rFonts w:ascii="Arial" w:hAnsi="Arial" w:cs="Arial"/>
          <w:sz w:val="22"/>
          <w:szCs w:val="22"/>
        </w:rPr>
        <w:t>nformation Risk Officer (SIRO)</w:t>
      </w:r>
      <w:r w:rsidRPr="008662E9">
        <w:rPr>
          <w:rFonts w:ascii="Arial" w:hAnsi="Arial" w:cs="Arial"/>
          <w:sz w:val="22"/>
          <w:szCs w:val="22"/>
        </w:rPr>
        <w:t>/Caldicott Guardian. Therefore, a breach MUST be reported to the Information Governance Lead, DPO and SIRO/Caldicott Guardian within 24 hours of the organisation becoming aware of it so that an appropriate assessment can take place.</w:t>
      </w:r>
    </w:p>
    <w:p w14:paraId="6DE266F4" w14:textId="21949F25" w:rsidR="00076067" w:rsidRPr="00BD305E" w:rsidRDefault="00076067" w:rsidP="00967C39">
      <w:pPr>
        <w:rPr>
          <w:rFonts w:ascii="Arial" w:hAnsi="Arial" w:cs="Arial"/>
          <w:sz w:val="22"/>
          <w:szCs w:val="22"/>
          <w:lang w:eastAsia="en-US"/>
        </w:rPr>
      </w:pPr>
    </w:p>
    <w:p w14:paraId="30C5E15F" w14:textId="3DDA3001" w:rsidR="00123E8D" w:rsidRPr="00BD305E" w:rsidRDefault="004A45AA" w:rsidP="00241E23">
      <w:pPr>
        <w:rPr>
          <w:rFonts w:ascii="Arial" w:hAnsi="Arial" w:cs="Arial"/>
          <w:sz w:val="22"/>
          <w:szCs w:val="22"/>
          <w:lang w:eastAsia="en-US"/>
        </w:rPr>
      </w:pPr>
      <w:r>
        <w:rPr>
          <w:rFonts w:ascii="Arial" w:hAnsi="Arial" w:cs="Arial"/>
          <w:sz w:val="22"/>
          <w:szCs w:val="22"/>
          <w:lang w:eastAsia="en-US"/>
        </w:rPr>
        <w:t>This organisation</w:t>
      </w:r>
      <w:r w:rsidR="00076067" w:rsidRPr="00BD305E">
        <w:rPr>
          <w:rFonts w:ascii="Arial" w:hAnsi="Arial" w:cs="Arial"/>
          <w:sz w:val="22"/>
          <w:szCs w:val="22"/>
          <w:lang w:eastAsia="en-US"/>
        </w:rPr>
        <w:t xml:space="preserve"> will report the breach using the </w:t>
      </w:r>
      <w:hyperlink r:id="rId48" w:history="1">
        <w:r w:rsidR="00076067" w:rsidRPr="00BD305E">
          <w:rPr>
            <w:rStyle w:val="Hyperlink"/>
            <w:rFonts w:ascii="Arial" w:hAnsi="Arial" w:cs="Arial"/>
            <w:sz w:val="22"/>
            <w:szCs w:val="22"/>
            <w:lang w:eastAsia="en-US"/>
          </w:rPr>
          <w:t>Data Security and Protection Incident Reporting Tool</w:t>
        </w:r>
      </w:hyperlink>
      <w:r w:rsidR="00076067" w:rsidRPr="00BD305E">
        <w:rPr>
          <w:rFonts w:ascii="Arial" w:hAnsi="Arial" w:cs="Arial"/>
          <w:sz w:val="22"/>
          <w:szCs w:val="22"/>
          <w:lang w:eastAsia="en-US"/>
        </w:rPr>
        <w:t xml:space="preserve">. </w:t>
      </w:r>
      <w:hyperlink r:id="rId49" w:history="1">
        <w:r w:rsidR="00B76523" w:rsidRPr="004A45AA">
          <w:rPr>
            <w:rStyle w:val="Hyperlink"/>
            <w:rFonts w:ascii="Arial" w:hAnsi="Arial" w:cs="Arial"/>
            <w:sz w:val="22"/>
            <w:szCs w:val="22"/>
          </w:rPr>
          <w:t>Article 33</w:t>
        </w:r>
      </w:hyperlink>
      <w:r w:rsidR="00B76523" w:rsidRPr="00BD305E">
        <w:rPr>
          <w:rFonts w:ascii="Arial" w:hAnsi="Arial" w:cs="Arial"/>
          <w:sz w:val="22"/>
          <w:szCs w:val="22"/>
        </w:rPr>
        <w:t xml:space="preserve"> of the UK GDPR outlines </w:t>
      </w:r>
      <w:r w:rsidR="00D5641E">
        <w:rPr>
          <w:rFonts w:ascii="Arial" w:hAnsi="Arial" w:cs="Arial"/>
          <w:sz w:val="22"/>
          <w:szCs w:val="22"/>
        </w:rPr>
        <w:t xml:space="preserve">the information required when reporting a breach. The </w:t>
      </w:r>
      <w:hyperlink r:id="rId50" w:anchor="authority" w:history="1">
        <w:r w:rsidR="00D5641E" w:rsidRPr="00D5641E">
          <w:rPr>
            <w:rStyle w:val="Hyperlink"/>
            <w:rFonts w:ascii="Arial" w:hAnsi="Arial" w:cs="Arial"/>
            <w:sz w:val="22"/>
            <w:szCs w:val="22"/>
          </w:rPr>
          <w:t>ICO</w:t>
        </w:r>
      </w:hyperlink>
      <w:r w:rsidR="00D5641E">
        <w:rPr>
          <w:rFonts w:ascii="Arial" w:hAnsi="Arial" w:cs="Arial"/>
          <w:sz w:val="22"/>
          <w:szCs w:val="22"/>
        </w:rPr>
        <w:t xml:space="preserve"> explain</w:t>
      </w:r>
      <w:r w:rsidR="006B16BA">
        <w:rPr>
          <w:rFonts w:ascii="Arial" w:hAnsi="Arial" w:cs="Arial"/>
          <w:sz w:val="22"/>
          <w:szCs w:val="22"/>
        </w:rPr>
        <w:t>s</w:t>
      </w:r>
      <w:r w:rsidR="00D5641E">
        <w:rPr>
          <w:rFonts w:ascii="Arial" w:hAnsi="Arial" w:cs="Arial"/>
          <w:sz w:val="22"/>
          <w:szCs w:val="22"/>
        </w:rPr>
        <w:t xml:space="preserve"> this information must contain</w:t>
      </w:r>
      <w:r w:rsidR="00123E8D" w:rsidRPr="00BD305E">
        <w:rPr>
          <w:rFonts w:ascii="Arial" w:hAnsi="Arial" w:cs="Arial"/>
          <w:sz w:val="22"/>
          <w:szCs w:val="22"/>
        </w:rPr>
        <w:t>:</w:t>
      </w:r>
    </w:p>
    <w:p w14:paraId="3B930B27" w14:textId="77777777" w:rsidR="00123E8D" w:rsidRPr="00BD305E" w:rsidRDefault="00123E8D" w:rsidP="00241E23">
      <w:pPr>
        <w:rPr>
          <w:rFonts w:ascii="Arial" w:hAnsi="Arial" w:cs="Arial"/>
          <w:sz w:val="22"/>
          <w:szCs w:val="22"/>
        </w:rPr>
      </w:pPr>
    </w:p>
    <w:p w14:paraId="3F671C63" w14:textId="6BB0EEDD" w:rsidR="00B76523" w:rsidRDefault="00D5641E" w:rsidP="00204801">
      <w:pPr>
        <w:pStyle w:val="ListParagraph"/>
        <w:numPr>
          <w:ilvl w:val="0"/>
          <w:numId w:val="9"/>
        </w:numPr>
        <w:rPr>
          <w:rFonts w:ascii="Arial" w:hAnsi="Arial" w:cs="Arial"/>
        </w:rPr>
      </w:pPr>
      <w:r>
        <w:rPr>
          <w:rFonts w:ascii="Arial" w:hAnsi="Arial" w:cs="Arial"/>
        </w:rPr>
        <w:t>A description of the nature of the breach, including, where possible:</w:t>
      </w:r>
    </w:p>
    <w:p w14:paraId="12D5B282" w14:textId="3C6DDB19" w:rsidR="00D5641E" w:rsidRDefault="00D5641E" w:rsidP="00D5641E">
      <w:pPr>
        <w:pStyle w:val="ListParagraph"/>
        <w:numPr>
          <w:ilvl w:val="1"/>
          <w:numId w:val="9"/>
        </w:numPr>
        <w:rPr>
          <w:rFonts w:ascii="Arial" w:hAnsi="Arial" w:cs="Arial"/>
        </w:rPr>
      </w:pPr>
      <w:r>
        <w:rPr>
          <w:rFonts w:ascii="Arial" w:hAnsi="Arial" w:cs="Arial"/>
        </w:rPr>
        <w:t>The categories and approximate number of individuals concerned</w:t>
      </w:r>
    </w:p>
    <w:p w14:paraId="56D47022" w14:textId="763DE7F0" w:rsidR="00D5641E" w:rsidRDefault="00D5641E" w:rsidP="00D5641E">
      <w:pPr>
        <w:pStyle w:val="ListParagraph"/>
        <w:numPr>
          <w:ilvl w:val="1"/>
          <w:numId w:val="9"/>
        </w:numPr>
        <w:rPr>
          <w:rFonts w:ascii="Arial" w:hAnsi="Arial" w:cs="Arial"/>
        </w:rPr>
      </w:pPr>
      <w:r>
        <w:rPr>
          <w:rFonts w:ascii="Arial" w:hAnsi="Arial" w:cs="Arial"/>
        </w:rPr>
        <w:t>The categories and approximate number of personal data records concerned</w:t>
      </w:r>
    </w:p>
    <w:p w14:paraId="1FAA16A2" w14:textId="07F72FCB" w:rsidR="00D5641E" w:rsidRDefault="00D5641E" w:rsidP="00D5641E">
      <w:pPr>
        <w:pStyle w:val="ListParagraph"/>
        <w:numPr>
          <w:ilvl w:val="0"/>
          <w:numId w:val="9"/>
        </w:numPr>
        <w:rPr>
          <w:rFonts w:ascii="Arial" w:hAnsi="Arial" w:cs="Arial"/>
        </w:rPr>
      </w:pPr>
      <w:r>
        <w:rPr>
          <w:rFonts w:ascii="Arial" w:hAnsi="Arial" w:cs="Arial"/>
        </w:rPr>
        <w:t>The name and contact details for the DPO</w:t>
      </w:r>
    </w:p>
    <w:p w14:paraId="31821679" w14:textId="6CD3FF76" w:rsidR="00D5641E" w:rsidRDefault="00D5641E" w:rsidP="00D5641E">
      <w:pPr>
        <w:pStyle w:val="ListParagraph"/>
        <w:numPr>
          <w:ilvl w:val="0"/>
          <w:numId w:val="9"/>
        </w:numPr>
        <w:rPr>
          <w:rFonts w:ascii="Arial" w:hAnsi="Arial" w:cs="Arial"/>
        </w:rPr>
      </w:pPr>
      <w:r>
        <w:rPr>
          <w:rFonts w:ascii="Arial" w:hAnsi="Arial" w:cs="Arial"/>
        </w:rPr>
        <w:t>A description of the likely consequences of the data breach</w:t>
      </w:r>
    </w:p>
    <w:p w14:paraId="36A693BD" w14:textId="20D80595" w:rsidR="00D5641E" w:rsidRPr="00BD305E" w:rsidRDefault="00D5641E" w:rsidP="00D5641E">
      <w:pPr>
        <w:pStyle w:val="ListParagraph"/>
        <w:numPr>
          <w:ilvl w:val="0"/>
          <w:numId w:val="9"/>
        </w:numPr>
        <w:rPr>
          <w:rFonts w:ascii="Arial" w:hAnsi="Arial" w:cs="Arial"/>
        </w:rPr>
      </w:pPr>
      <w:r>
        <w:rPr>
          <w:rFonts w:ascii="Arial" w:hAnsi="Arial" w:cs="Arial"/>
        </w:rPr>
        <w:t>A description of the measures taken, or proposed to be taken, to deal with the personal data breach and, where appropriate, of the measures taken to mitigate any possible adverse effects</w:t>
      </w:r>
    </w:p>
    <w:p w14:paraId="508FB988" w14:textId="26CE46B4" w:rsidR="00967C39" w:rsidRPr="00BD305E" w:rsidRDefault="00967C39" w:rsidP="00967C39">
      <w:pPr>
        <w:pStyle w:val="Heading2"/>
        <w:rPr>
          <w:rFonts w:ascii="Arial" w:hAnsi="Arial" w:cs="Arial"/>
          <w:smallCaps w:val="0"/>
          <w:sz w:val="24"/>
          <w:szCs w:val="24"/>
          <w:lang w:val="en-GB"/>
        </w:rPr>
      </w:pPr>
      <w:bookmarkStart w:id="101" w:name="_Toc43131929"/>
      <w:bookmarkStart w:id="102" w:name="_Toc160544112"/>
      <w:r w:rsidRPr="00BD305E">
        <w:rPr>
          <w:rFonts w:ascii="Arial" w:hAnsi="Arial" w:cs="Arial"/>
          <w:smallCaps w:val="0"/>
          <w:sz w:val="24"/>
          <w:szCs w:val="24"/>
          <w:lang w:val="en-GB"/>
        </w:rPr>
        <w:t>Notifying a data subject of a breach</w:t>
      </w:r>
      <w:bookmarkEnd w:id="101"/>
      <w:bookmarkEnd w:id="102"/>
    </w:p>
    <w:p w14:paraId="527B3D2F" w14:textId="5CE70D16" w:rsidR="00967C39" w:rsidRPr="00BD305E" w:rsidRDefault="00967C39" w:rsidP="00967C39">
      <w:pPr>
        <w:rPr>
          <w:lang w:eastAsia="en-US"/>
        </w:rPr>
      </w:pPr>
    </w:p>
    <w:p w14:paraId="4D546562" w14:textId="156EC8BD" w:rsidR="00967C39" w:rsidRPr="00BD305E" w:rsidRDefault="00B32A6F" w:rsidP="00967C39">
      <w:pPr>
        <w:rPr>
          <w:rFonts w:ascii="Arial" w:hAnsi="Arial" w:cs="Arial"/>
          <w:sz w:val="22"/>
          <w:szCs w:val="22"/>
          <w:lang w:eastAsia="en-US"/>
        </w:rPr>
      </w:pPr>
      <w:r>
        <w:rPr>
          <w:rFonts w:ascii="Arial" w:hAnsi="Arial" w:cs="Arial"/>
          <w:sz w:val="22"/>
          <w:szCs w:val="22"/>
          <w:lang w:eastAsia="en-US"/>
        </w:rPr>
        <w:t xml:space="preserve">The </w:t>
      </w:r>
      <w:hyperlink r:id="rId51" w:anchor="whendowe" w:history="1">
        <w:r w:rsidRPr="00B32A6F">
          <w:rPr>
            <w:rStyle w:val="Hyperlink"/>
            <w:rFonts w:ascii="Arial" w:hAnsi="Arial" w:cs="Arial"/>
            <w:sz w:val="22"/>
            <w:szCs w:val="22"/>
            <w:lang w:eastAsia="en-US"/>
          </w:rPr>
          <w:t>ICO</w:t>
        </w:r>
      </w:hyperlink>
      <w:r>
        <w:rPr>
          <w:rFonts w:ascii="Arial" w:hAnsi="Arial" w:cs="Arial"/>
          <w:sz w:val="22"/>
          <w:szCs w:val="22"/>
          <w:lang w:eastAsia="en-US"/>
        </w:rPr>
        <w:t xml:space="preserve"> explain</w:t>
      </w:r>
      <w:r w:rsidR="006B16BA">
        <w:rPr>
          <w:rFonts w:ascii="Arial" w:hAnsi="Arial" w:cs="Arial"/>
          <w:sz w:val="22"/>
          <w:szCs w:val="22"/>
          <w:lang w:eastAsia="en-US"/>
        </w:rPr>
        <w:t>s</w:t>
      </w:r>
      <w:r>
        <w:rPr>
          <w:rFonts w:ascii="Arial" w:hAnsi="Arial" w:cs="Arial"/>
          <w:sz w:val="22"/>
          <w:szCs w:val="22"/>
          <w:lang w:eastAsia="en-US"/>
        </w:rPr>
        <w:t xml:space="preserve"> that if a breach is likely to result in a high risk to the rights and freedoms of individuals, then this organisation must inform those concerned directly and without undue delay and before notifying the ICO.</w:t>
      </w:r>
      <w:r w:rsidR="00FF57A6">
        <w:rPr>
          <w:rFonts w:ascii="Arial" w:hAnsi="Arial" w:cs="Arial"/>
          <w:sz w:val="22"/>
          <w:szCs w:val="22"/>
          <w:lang w:eastAsia="en-US"/>
        </w:rPr>
        <w:t xml:space="preserve"> </w:t>
      </w:r>
      <w:r>
        <w:rPr>
          <w:rFonts w:ascii="Arial" w:hAnsi="Arial" w:cs="Arial"/>
          <w:sz w:val="22"/>
          <w:szCs w:val="22"/>
          <w:lang w:eastAsia="en-US"/>
        </w:rPr>
        <w:t xml:space="preserve">One of the main reasons for doing so is to permit those affected to </w:t>
      </w:r>
      <w:r w:rsidR="00967C39" w:rsidRPr="00BD305E">
        <w:rPr>
          <w:rFonts w:ascii="Arial" w:hAnsi="Arial" w:cs="Arial"/>
          <w:sz w:val="22"/>
          <w:szCs w:val="22"/>
          <w:lang w:eastAsia="en-US"/>
        </w:rPr>
        <w:t>take the necessary steps in order to protect themselves from the effects of a breach.</w:t>
      </w:r>
    </w:p>
    <w:p w14:paraId="095DFDF6" w14:textId="75E48108" w:rsidR="00967C39" w:rsidRPr="00BD305E" w:rsidRDefault="00967C39" w:rsidP="00967C39">
      <w:pPr>
        <w:rPr>
          <w:rFonts w:ascii="Arial" w:hAnsi="Arial" w:cs="Arial"/>
          <w:sz w:val="22"/>
          <w:szCs w:val="22"/>
          <w:lang w:eastAsia="en-US"/>
        </w:rPr>
      </w:pPr>
    </w:p>
    <w:p w14:paraId="5A3718B9" w14:textId="290EE511" w:rsidR="00967C39" w:rsidRPr="00BD305E" w:rsidRDefault="00967C39" w:rsidP="00967C39">
      <w:pPr>
        <w:rPr>
          <w:rFonts w:ascii="Arial" w:hAnsi="Arial" w:cs="Arial"/>
          <w:sz w:val="22"/>
          <w:szCs w:val="22"/>
          <w:lang w:eastAsia="en-US"/>
        </w:rPr>
      </w:pPr>
      <w:r w:rsidRPr="00BD305E">
        <w:rPr>
          <w:rFonts w:ascii="Arial" w:hAnsi="Arial" w:cs="Arial"/>
          <w:sz w:val="22"/>
          <w:szCs w:val="22"/>
          <w:lang w:eastAsia="en-US"/>
        </w:rPr>
        <w:t xml:space="preserve">When the decision has been made to notify a data subject of a breach, </w:t>
      </w:r>
      <w:r w:rsidR="00B2360B" w:rsidRPr="00BD305E">
        <w:rPr>
          <w:rFonts w:ascii="Arial" w:hAnsi="Arial" w:cs="Arial"/>
          <w:sz w:val="22"/>
          <w:szCs w:val="22"/>
          <w:lang w:eastAsia="en-US"/>
        </w:rPr>
        <w:t>this organisation</w:t>
      </w:r>
      <w:r w:rsidR="00B2360B" w:rsidRPr="00BD305E" w:rsidDel="00B2360B">
        <w:rPr>
          <w:rFonts w:ascii="Arial" w:hAnsi="Arial" w:cs="Arial"/>
          <w:sz w:val="22"/>
          <w:szCs w:val="22"/>
          <w:lang w:eastAsia="en-US"/>
        </w:rPr>
        <w:t xml:space="preserve"> </w:t>
      </w:r>
      <w:r w:rsidRPr="00BD305E">
        <w:rPr>
          <w:rFonts w:ascii="Arial" w:hAnsi="Arial" w:cs="Arial"/>
          <w:sz w:val="22"/>
          <w:szCs w:val="22"/>
          <w:lang w:eastAsia="en-US"/>
        </w:rPr>
        <w:t xml:space="preserve">is to provide </w:t>
      </w:r>
      <w:r w:rsidR="00FF57A6">
        <w:rPr>
          <w:rFonts w:ascii="Arial" w:hAnsi="Arial" w:cs="Arial"/>
          <w:sz w:val="22"/>
          <w:szCs w:val="22"/>
          <w:lang w:eastAsia="en-US"/>
        </w:rPr>
        <w:t>those affected</w:t>
      </w:r>
      <w:r w:rsidRPr="00BD305E">
        <w:rPr>
          <w:rFonts w:ascii="Arial" w:hAnsi="Arial" w:cs="Arial"/>
          <w:sz w:val="22"/>
          <w:szCs w:val="22"/>
          <w:lang w:eastAsia="en-US"/>
        </w:rPr>
        <w:t xml:space="preserve"> with the following in</w:t>
      </w:r>
      <w:r w:rsidR="001D10A0" w:rsidRPr="00BD305E">
        <w:rPr>
          <w:rFonts w:ascii="Arial" w:hAnsi="Arial" w:cs="Arial"/>
          <w:sz w:val="22"/>
          <w:szCs w:val="22"/>
          <w:lang w:eastAsia="en-US"/>
        </w:rPr>
        <w:t>formation in a clear, comprehens</w:t>
      </w:r>
      <w:r w:rsidRPr="00BD305E">
        <w:rPr>
          <w:rFonts w:ascii="Arial" w:hAnsi="Arial" w:cs="Arial"/>
          <w:sz w:val="22"/>
          <w:szCs w:val="22"/>
          <w:lang w:eastAsia="en-US"/>
        </w:rPr>
        <w:t>ible manner:</w:t>
      </w:r>
    </w:p>
    <w:p w14:paraId="3E58AAA0" w14:textId="6A969BCE" w:rsidR="00967C39" w:rsidRPr="00BD305E" w:rsidRDefault="00967C39" w:rsidP="00967C39">
      <w:pPr>
        <w:rPr>
          <w:rFonts w:ascii="Arial" w:hAnsi="Arial" w:cs="Arial"/>
          <w:sz w:val="22"/>
          <w:szCs w:val="22"/>
          <w:lang w:eastAsia="en-US"/>
        </w:rPr>
      </w:pPr>
    </w:p>
    <w:p w14:paraId="2EE42C51" w14:textId="0A37A87A" w:rsidR="00967C39" w:rsidRPr="00BD305E" w:rsidRDefault="00967C39" w:rsidP="00204801">
      <w:pPr>
        <w:pStyle w:val="ListParagraph"/>
        <w:numPr>
          <w:ilvl w:val="0"/>
          <w:numId w:val="8"/>
        </w:numPr>
        <w:rPr>
          <w:rFonts w:ascii="Arial" w:hAnsi="Arial" w:cs="Arial"/>
        </w:rPr>
      </w:pPr>
      <w:r w:rsidRPr="00BD305E">
        <w:rPr>
          <w:rFonts w:ascii="Arial" w:hAnsi="Arial" w:cs="Arial"/>
        </w:rPr>
        <w:t>The circumstances surrounding the breach</w:t>
      </w:r>
    </w:p>
    <w:p w14:paraId="14470260" w14:textId="2963594E" w:rsidR="00967C39" w:rsidRPr="00BD305E" w:rsidRDefault="00967C39" w:rsidP="00204801">
      <w:pPr>
        <w:pStyle w:val="ListParagraph"/>
        <w:numPr>
          <w:ilvl w:val="0"/>
          <w:numId w:val="8"/>
        </w:numPr>
        <w:rPr>
          <w:rFonts w:ascii="Arial" w:hAnsi="Arial" w:cs="Arial"/>
        </w:rPr>
      </w:pPr>
      <w:r w:rsidRPr="00BD305E">
        <w:rPr>
          <w:rFonts w:ascii="Arial" w:hAnsi="Arial" w:cs="Arial"/>
        </w:rPr>
        <w:t xml:space="preserve">The </w:t>
      </w:r>
      <w:r w:rsidR="00ED0EA9" w:rsidRPr="00BD305E">
        <w:rPr>
          <w:rFonts w:ascii="Arial" w:hAnsi="Arial" w:cs="Arial"/>
        </w:rPr>
        <w:t>details of the person who will be managing the breach</w:t>
      </w:r>
    </w:p>
    <w:p w14:paraId="6365CB64" w14:textId="15F8F911" w:rsidR="00ED0EA9" w:rsidRPr="00BD305E" w:rsidRDefault="00ED0EA9" w:rsidP="00204801">
      <w:pPr>
        <w:pStyle w:val="ListParagraph"/>
        <w:numPr>
          <w:ilvl w:val="0"/>
          <w:numId w:val="8"/>
        </w:numPr>
        <w:rPr>
          <w:rFonts w:ascii="Arial" w:hAnsi="Arial" w:cs="Arial"/>
        </w:rPr>
      </w:pPr>
      <w:r w:rsidRPr="00BD305E">
        <w:rPr>
          <w:rFonts w:ascii="Arial" w:hAnsi="Arial" w:cs="Arial"/>
        </w:rPr>
        <w:t>Any actions taken to contain and manage the breach</w:t>
      </w:r>
    </w:p>
    <w:p w14:paraId="5EE9CA03" w14:textId="7DB49346" w:rsidR="002957F7" w:rsidRPr="00FF57A6" w:rsidRDefault="00ED0EA9" w:rsidP="005F2BC0">
      <w:pPr>
        <w:pStyle w:val="ListParagraph"/>
        <w:numPr>
          <w:ilvl w:val="0"/>
          <w:numId w:val="8"/>
        </w:numPr>
        <w:rPr>
          <w:rFonts w:ascii="Arial" w:hAnsi="Arial" w:cs="Arial"/>
        </w:rPr>
      </w:pPr>
      <w:r w:rsidRPr="00BD305E">
        <w:rPr>
          <w:rFonts w:ascii="Arial" w:hAnsi="Arial" w:cs="Arial"/>
        </w:rPr>
        <w:t>Any other pertinent information to support the data subject</w:t>
      </w:r>
    </w:p>
    <w:p w14:paraId="203E68EF" w14:textId="0AD0F445" w:rsidR="0035600D" w:rsidRPr="00BD305E" w:rsidRDefault="0035600D" w:rsidP="0035600D">
      <w:pPr>
        <w:pStyle w:val="Heading1"/>
        <w:keepLines/>
        <w:pBdr>
          <w:bottom w:val="single" w:sz="4" w:space="1" w:color="595959" w:themeColor="text1" w:themeTint="A6"/>
        </w:pBdr>
        <w:spacing w:before="360" w:after="160" w:line="259" w:lineRule="auto"/>
        <w:rPr>
          <w:sz w:val="28"/>
          <w:szCs w:val="28"/>
        </w:rPr>
      </w:pPr>
      <w:bookmarkStart w:id="103" w:name="_Toc43131873"/>
      <w:bookmarkStart w:id="104" w:name="_Toc43131936"/>
      <w:bookmarkStart w:id="105" w:name="_Toc43131937"/>
      <w:bookmarkStart w:id="106" w:name="_Toc160544113"/>
      <w:bookmarkEnd w:id="103"/>
      <w:bookmarkEnd w:id="104"/>
      <w:r w:rsidRPr="00BD305E">
        <w:rPr>
          <w:sz w:val="28"/>
          <w:szCs w:val="28"/>
        </w:rPr>
        <w:lastRenderedPageBreak/>
        <w:t>Consent</w:t>
      </w:r>
      <w:bookmarkEnd w:id="105"/>
      <w:bookmarkEnd w:id="106"/>
    </w:p>
    <w:p w14:paraId="49407E70" w14:textId="19323247" w:rsidR="00332780" w:rsidRPr="00BD305E" w:rsidRDefault="00332780" w:rsidP="00332780">
      <w:pPr>
        <w:pStyle w:val="Heading2"/>
        <w:rPr>
          <w:rFonts w:ascii="Arial" w:hAnsi="Arial" w:cs="Arial"/>
          <w:smallCaps w:val="0"/>
          <w:sz w:val="24"/>
          <w:szCs w:val="24"/>
          <w:lang w:val="en-GB"/>
        </w:rPr>
      </w:pPr>
      <w:bookmarkStart w:id="107" w:name="_Toc43131939"/>
      <w:bookmarkStart w:id="108" w:name="_Toc160544114"/>
      <w:r w:rsidRPr="00BD305E">
        <w:rPr>
          <w:rFonts w:ascii="Arial" w:hAnsi="Arial" w:cs="Arial"/>
          <w:smallCaps w:val="0"/>
          <w:sz w:val="24"/>
          <w:szCs w:val="24"/>
          <w:lang w:val="en-GB"/>
        </w:rPr>
        <w:t>Obtaining consent</w:t>
      </w:r>
      <w:bookmarkEnd w:id="107"/>
      <w:bookmarkEnd w:id="108"/>
    </w:p>
    <w:p w14:paraId="35BF7F2C" w14:textId="0E7E895D" w:rsidR="00332780" w:rsidRPr="00BD305E" w:rsidRDefault="00332780" w:rsidP="00332780">
      <w:pPr>
        <w:rPr>
          <w:lang w:eastAsia="en-US"/>
        </w:rPr>
      </w:pPr>
    </w:p>
    <w:p w14:paraId="2768681D" w14:textId="4DABCB5A" w:rsidR="00332780" w:rsidRPr="00117275" w:rsidRDefault="00C43D2D" w:rsidP="00332780">
      <w:pPr>
        <w:rPr>
          <w:rFonts w:ascii="Arial" w:hAnsi="Arial" w:cs="Arial"/>
          <w:sz w:val="22"/>
          <w:szCs w:val="22"/>
          <w:lang w:eastAsia="en-US"/>
        </w:rPr>
      </w:pPr>
      <w:r w:rsidRPr="00117275">
        <w:rPr>
          <w:rFonts w:ascii="Arial" w:hAnsi="Arial" w:cs="Arial"/>
          <w:sz w:val="22"/>
          <w:szCs w:val="22"/>
          <w:lang w:eastAsia="en-US"/>
        </w:rPr>
        <w:t xml:space="preserve">The </w:t>
      </w:r>
      <w:hyperlink r:id="rId52" w:history="1">
        <w:r w:rsidRPr="00117275">
          <w:rPr>
            <w:rStyle w:val="Hyperlink"/>
            <w:rFonts w:ascii="Arial" w:hAnsi="Arial" w:cs="Arial"/>
            <w:sz w:val="22"/>
            <w:szCs w:val="22"/>
            <w:lang w:eastAsia="en-US"/>
          </w:rPr>
          <w:t>ICO</w:t>
        </w:r>
      </w:hyperlink>
      <w:r w:rsidRPr="00117275">
        <w:rPr>
          <w:rFonts w:ascii="Arial" w:hAnsi="Arial" w:cs="Arial"/>
          <w:sz w:val="22"/>
          <w:szCs w:val="22"/>
          <w:lang w:eastAsia="en-US"/>
        </w:rPr>
        <w:t xml:space="preserve"> states that consent must be unambiguous and involve a clear affirmative action (an opt-in). </w:t>
      </w:r>
      <w:r w:rsidR="00976282" w:rsidRPr="00117275">
        <w:rPr>
          <w:rFonts w:ascii="Arial" w:hAnsi="Arial" w:cs="Arial"/>
          <w:sz w:val="22"/>
          <w:szCs w:val="22"/>
          <w:lang w:eastAsia="en-US"/>
        </w:rPr>
        <w:t xml:space="preserve">Consent is one of the lawful </w:t>
      </w:r>
      <w:r w:rsidR="00EB767F" w:rsidRPr="00117275">
        <w:rPr>
          <w:rFonts w:ascii="Arial" w:hAnsi="Arial" w:cs="Arial"/>
          <w:sz w:val="22"/>
          <w:szCs w:val="22"/>
          <w:lang w:eastAsia="en-US"/>
        </w:rPr>
        <w:t>bases</w:t>
      </w:r>
      <w:r w:rsidR="00976282" w:rsidRPr="00117275">
        <w:rPr>
          <w:rFonts w:ascii="Arial" w:hAnsi="Arial" w:cs="Arial"/>
          <w:sz w:val="22"/>
          <w:szCs w:val="22"/>
          <w:lang w:eastAsia="en-US"/>
        </w:rPr>
        <w:t xml:space="preserve"> of processing and</w:t>
      </w:r>
      <w:r w:rsidR="006B16BA">
        <w:rPr>
          <w:rFonts w:ascii="Arial" w:hAnsi="Arial" w:cs="Arial"/>
          <w:sz w:val="22"/>
          <w:szCs w:val="22"/>
          <w:lang w:eastAsia="en-US"/>
        </w:rPr>
        <w:t>,</w:t>
      </w:r>
      <w:r w:rsidR="00976282" w:rsidRPr="00117275">
        <w:rPr>
          <w:rFonts w:ascii="Arial" w:hAnsi="Arial" w:cs="Arial"/>
          <w:sz w:val="22"/>
          <w:szCs w:val="22"/>
          <w:lang w:eastAsia="en-US"/>
        </w:rPr>
        <w:t xml:space="preserve"> i</w:t>
      </w:r>
      <w:r w:rsidR="006B16BA">
        <w:rPr>
          <w:rFonts w:ascii="Arial" w:hAnsi="Arial" w:cs="Arial"/>
          <w:sz w:val="22"/>
          <w:szCs w:val="22"/>
          <w:lang w:eastAsia="en-US"/>
        </w:rPr>
        <w:t>f</w:t>
      </w:r>
      <w:r w:rsidR="00976282" w:rsidRPr="00117275">
        <w:rPr>
          <w:rFonts w:ascii="Arial" w:hAnsi="Arial" w:cs="Arial"/>
          <w:sz w:val="22"/>
          <w:szCs w:val="22"/>
          <w:lang w:eastAsia="en-US"/>
        </w:rPr>
        <w:t xml:space="preserve"> appropriate</w:t>
      </w:r>
      <w:r w:rsidR="006B16BA">
        <w:rPr>
          <w:rFonts w:ascii="Arial" w:hAnsi="Arial" w:cs="Arial"/>
          <w:sz w:val="22"/>
          <w:szCs w:val="22"/>
          <w:lang w:eastAsia="en-US"/>
        </w:rPr>
        <w:t>,</w:t>
      </w:r>
      <w:r w:rsidR="00976282" w:rsidRPr="00117275">
        <w:rPr>
          <w:rFonts w:ascii="Arial" w:hAnsi="Arial" w:cs="Arial"/>
          <w:sz w:val="22"/>
          <w:szCs w:val="22"/>
          <w:lang w:eastAsia="en-US"/>
        </w:rPr>
        <w:t xml:space="preserve"> </w:t>
      </w:r>
      <w:r w:rsidR="00117275" w:rsidRPr="00117275">
        <w:rPr>
          <w:rFonts w:ascii="Arial" w:hAnsi="Arial" w:cs="Arial"/>
          <w:sz w:val="22"/>
          <w:szCs w:val="22"/>
          <w:lang w:eastAsia="en-US"/>
        </w:rPr>
        <w:t xml:space="preserve">this organisation is </w:t>
      </w:r>
      <w:r w:rsidR="00976282" w:rsidRPr="00117275">
        <w:rPr>
          <w:rFonts w:ascii="Arial" w:hAnsi="Arial" w:cs="Arial"/>
          <w:sz w:val="22"/>
          <w:szCs w:val="22"/>
          <w:lang w:eastAsia="en-US"/>
        </w:rPr>
        <w:t xml:space="preserve">to offer people real choice and control over how their data is used. </w:t>
      </w:r>
      <w:r w:rsidR="00332780" w:rsidRPr="00117275">
        <w:rPr>
          <w:rFonts w:ascii="Arial" w:hAnsi="Arial" w:cs="Arial"/>
          <w:sz w:val="22"/>
          <w:szCs w:val="22"/>
          <w:lang w:eastAsia="en-US"/>
        </w:rPr>
        <w:t>If it is deemed appropriate to obtain consent, the following must be explained to the data subject:</w:t>
      </w:r>
    </w:p>
    <w:p w14:paraId="5488355F" w14:textId="0874691D" w:rsidR="00332780" w:rsidRPr="00BD305E" w:rsidRDefault="00332780" w:rsidP="00332780">
      <w:pPr>
        <w:rPr>
          <w:rFonts w:ascii="Arial" w:hAnsi="Arial" w:cs="Arial"/>
          <w:sz w:val="22"/>
          <w:szCs w:val="22"/>
          <w:lang w:eastAsia="en-US"/>
        </w:rPr>
      </w:pPr>
    </w:p>
    <w:p w14:paraId="74F12AB7" w14:textId="6D425C45" w:rsidR="00332780" w:rsidRPr="00BD305E" w:rsidRDefault="00332780" w:rsidP="00204801">
      <w:pPr>
        <w:pStyle w:val="ListParagraph"/>
        <w:numPr>
          <w:ilvl w:val="0"/>
          <w:numId w:val="12"/>
        </w:numPr>
        <w:rPr>
          <w:rFonts w:ascii="Arial" w:hAnsi="Arial" w:cs="Arial"/>
        </w:rPr>
      </w:pPr>
      <w:r w:rsidRPr="00BD305E">
        <w:rPr>
          <w:rFonts w:ascii="Arial" w:hAnsi="Arial" w:cs="Arial"/>
        </w:rPr>
        <w:t xml:space="preserve">Why the </w:t>
      </w:r>
      <w:r w:rsidR="00125496" w:rsidRPr="00BD305E">
        <w:rPr>
          <w:rFonts w:ascii="Arial" w:hAnsi="Arial" w:cs="Arial"/>
        </w:rPr>
        <w:t>organisation</w:t>
      </w:r>
      <w:r w:rsidRPr="00BD305E">
        <w:rPr>
          <w:rFonts w:ascii="Arial" w:hAnsi="Arial" w:cs="Arial"/>
        </w:rPr>
        <w:t xml:space="preserve"> want</w:t>
      </w:r>
      <w:r w:rsidR="0033473B" w:rsidRPr="00BD305E">
        <w:rPr>
          <w:rFonts w:ascii="Arial" w:hAnsi="Arial" w:cs="Arial"/>
        </w:rPr>
        <w:t>s</w:t>
      </w:r>
      <w:r w:rsidRPr="00BD305E">
        <w:rPr>
          <w:rFonts w:ascii="Arial" w:hAnsi="Arial" w:cs="Arial"/>
        </w:rPr>
        <w:t xml:space="preserve"> the data</w:t>
      </w:r>
    </w:p>
    <w:p w14:paraId="33134A1A" w14:textId="087E47BB" w:rsidR="00332780" w:rsidRPr="00BD305E" w:rsidRDefault="00332780" w:rsidP="00204801">
      <w:pPr>
        <w:pStyle w:val="ListParagraph"/>
        <w:numPr>
          <w:ilvl w:val="0"/>
          <w:numId w:val="12"/>
        </w:numPr>
        <w:rPr>
          <w:rFonts w:ascii="Arial" w:hAnsi="Arial" w:cs="Arial"/>
        </w:rPr>
      </w:pPr>
      <w:r w:rsidRPr="00BD305E">
        <w:rPr>
          <w:rFonts w:ascii="Arial" w:hAnsi="Arial" w:cs="Arial"/>
        </w:rPr>
        <w:t xml:space="preserve">How the data will be used by the </w:t>
      </w:r>
      <w:r w:rsidR="00125496" w:rsidRPr="00BD305E">
        <w:rPr>
          <w:rFonts w:ascii="Arial" w:hAnsi="Arial" w:cs="Arial"/>
        </w:rPr>
        <w:t>organisation</w:t>
      </w:r>
    </w:p>
    <w:p w14:paraId="6995BDC3" w14:textId="79EF4819" w:rsidR="00332780" w:rsidRPr="00BD305E" w:rsidRDefault="0033473B" w:rsidP="00204801">
      <w:pPr>
        <w:pStyle w:val="ListParagraph"/>
        <w:numPr>
          <w:ilvl w:val="0"/>
          <w:numId w:val="12"/>
        </w:numPr>
        <w:rPr>
          <w:rFonts w:ascii="Arial" w:hAnsi="Arial" w:cs="Arial"/>
        </w:rPr>
      </w:pPr>
      <w:r w:rsidRPr="00BD305E">
        <w:rPr>
          <w:rFonts w:ascii="Arial" w:hAnsi="Arial" w:cs="Arial"/>
        </w:rPr>
        <w:t xml:space="preserve">The names of any </w:t>
      </w:r>
      <w:r w:rsidR="00117275" w:rsidRPr="00BD305E">
        <w:rPr>
          <w:rFonts w:ascii="Arial" w:hAnsi="Arial" w:cs="Arial"/>
        </w:rPr>
        <w:t>third-party</w:t>
      </w:r>
      <w:r w:rsidR="00332780" w:rsidRPr="00BD305E">
        <w:rPr>
          <w:rFonts w:ascii="Arial" w:hAnsi="Arial" w:cs="Arial"/>
        </w:rPr>
        <w:t xml:space="preserve"> </w:t>
      </w:r>
      <w:r w:rsidR="008D73AD" w:rsidRPr="00BD305E">
        <w:rPr>
          <w:rFonts w:ascii="Arial" w:hAnsi="Arial" w:cs="Arial"/>
        </w:rPr>
        <w:t xml:space="preserve">data </w:t>
      </w:r>
      <w:r w:rsidR="00332780" w:rsidRPr="00BD305E">
        <w:rPr>
          <w:rFonts w:ascii="Arial" w:hAnsi="Arial" w:cs="Arial"/>
        </w:rPr>
        <w:t>controllers with whom the data will be shared</w:t>
      </w:r>
    </w:p>
    <w:p w14:paraId="7D918004" w14:textId="417DBE00" w:rsidR="00332780" w:rsidRPr="00BD305E" w:rsidRDefault="00E30399" w:rsidP="00204801">
      <w:pPr>
        <w:pStyle w:val="ListParagraph"/>
        <w:numPr>
          <w:ilvl w:val="0"/>
          <w:numId w:val="12"/>
        </w:numPr>
        <w:rPr>
          <w:rFonts w:ascii="Arial" w:hAnsi="Arial" w:cs="Arial"/>
        </w:rPr>
      </w:pPr>
      <w:r w:rsidRPr="00BD305E">
        <w:rPr>
          <w:rFonts w:ascii="Arial" w:hAnsi="Arial" w:cs="Arial"/>
        </w:rPr>
        <w:t>Their right to withdraw consent at any time</w:t>
      </w:r>
    </w:p>
    <w:p w14:paraId="0FEEDAD2" w14:textId="384A49E5" w:rsidR="00E30399" w:rsidRPr="00BD305E" w:rsidRDefault="00E30399" w:rsidP="00E30399">
      <w:pPr>
        <w:rPr>
          <w:rFonts w:ascii="Arial" w:hAnsi="Arial" w:cs="Arial"/>
        </w:rPr>
      </w:pPr>
    </w:p>
    <w:p w14:paraId="1501A133" w14:textId="0ED9339F" w:rsidR="00E30399" w:rsidRPr="00BD305E" w:rsidRDefault="00E30399" w:rsidP="00E30399">
      <w:pPr>
        <w:rPr>
          <w:rFonts w:ascii="Arial" w:hAnsi="Arial" w:cs="Arial"/>
          <w:sz w:val="22"/>
          <w:szCs w:val="22"/>
        </w:rPr>
      </w:pPr>
      <w:r w:rsidRPr="00BD305E">
        <w:rPr>
          <w:rFonts w:ascii="Arial" w:hAnsi="Arial" w:cs="Arial"/>
          <w:sz w:val="22"/>
          <w:szCs w:val="22"/>
        </w:rPr>
        <w:t>All requests for consent are to be recorded, with the record showing:</w:t>
      </w:r>
    </w:p>
    <w:p w14:paraId="64904517" w14:textId="15C4463B" w:rsidR="00E30399" w:rsidRPr="00BD305E" w:rsidRDefault="00E30399" w:rsidP="00204801">
      <w:pPr>
        <w:pStyle w:val="ListParagraph"/>
        <w:numPr>
          <w:ilvl w:val="0"/>
          <w:numId w:val="13"/>
        </w:numPr>
        <w:rPr>
          <w:rFonts w:ascii="Arial" w:hAnsi="Arial" w:cs="Arial"/>
        </w:rPr>
      </w:pPr>
      <w:r w:rsidRPr="00BD305E">
        <w:rPr>
          <w:rFonts w:ascii="Arial" w:hAnsi="Arial" w:cs="Arial"/>
        </w:rPr>
        <w:t xml:space="preserve">The details of the data subject consenting </w:t>
      </w:r>
    </w:p>
    <w:p w14:paraId="5F159B02" w14:textId="619D6265" w:rsidR="00E30399" w:rsidRPr="00BD305E" w:rsidRDefault="00E30399" w:rsidP="00204801">
      <w:pPr>
        <w:pStyle w:val="ListParagraph"/>
        <w:numPr>
          <w:ilvl w:val="0"/>
          <w:numId w:val="13"/>
        </w:numPr>
        <w:rPr>
          <w:rFonts w:ascii="Arial" w:hAnsi="Arial" w:cs="Arial"/>
        </w:rPr>
      </w:pPr>
      <w:r w:rsidRPr="00BD305E">
        <w:rPr>
          <w:rFonts w:ascii="Arial" w:hAnsi="Arial" w:cs="Arial"/>
        </w:rPr>
        <w:t>When they consented</w:t>
      </w:r>
    </w:p>
    <w:p w14:paraId="0DB048C8" w14:textId="43A982CF" w:rsidR="00E30399" w:rsidRPr="00BD305E" w:rsidRDefault="00E30399" w:rsidP="00204801">
      <w:pPr>
        <w:pStyle w:val="ListParagraph"/>
        <w:numPr>
          <w:ilvl w:val="0"/>
          <w:numId w:val="13"/>
        </w:numPr>
        <w:rPr>
          <w:rFonts w:ascii="Arial" w:hAnsi="Arial" w:cs="Arial"/>
        </w:rPr>
      </w:pPr>
      <w:r w:rsidRPr="00BD305E">
        <w:rPr>
          <w:rFonts w:ascii="Arial" w:hAnsi="Arial" w:cs="Arial"/>
        </w:rPr>
        <w:t>How they consented</w:t>
      </w:r>
    </w:p>
    <w:p w14:paraId="590C0568" w14:textId="6C4D6638" w:rsidR="00E30399" w:rsidRPr="00BD305E" w:rsidRDefault="00E30399" w:rsidP="00204801">
      <w:pPr>
        <w:pStyle w:val="ListParagraph"/>
        <w:numPr>
          <w:ilvl w:val="0"/>
          <w:numId w:val="13"/>
        </w:numPr>
        <w:rPr>
          <w:rFonts w:ascii="Arial" w:hAnsi="Arial" w:cs="Arial"/>
        </w:rPr>
      </w:pPr>
      <w:r w:rsidRPr="00BD305E">
        <w:rPr>
          <w:rFonts w:ascii="Arial" w:hAnsi="Arial" w:cs="Arial"/>
        </w:rPr>
        <w:t>What information the data subject was told</w:t>
      </w:r>
    </w:p>
    <w:p w14:paraId="3631940B" w14:textId="77777777" w:rsidR="00332780" w:rsidRPr="00BD305E" w:rsidRDefault="00332780" w:rsidP="00332780">
      <w:pPr>
        <w:rPr>
          <w:rFonts w:ascii="Arial" w:hAnsi="Arial" w:cs="Arial"/>
          <w:sz w:val="22"/>
          <w:szCs w:val="22"/>
          <w:lang w:eastAsia="en-US"/>
        </w:rPr>
      </w:pPr>
    </w:p>
    <w:p w14:paraId="17B019E6" w14:textId="424E9F15" w:rsidR="00E23FDB" w:rsidRPr="00BD305E" w:rsidRDefault="00E23FDB" w:rsidP="00E23FDB">
      <w:pPr>
        <w:rPr>
          <w:rFonts w:ascii="Arial" w:hAnsi="Arial" w:cs="Arial"/>
        </w:rPr>
      </w:pPr>
      <w:r w:rsidRPr="00BD305E">
        <w:rPr>
          <w:rFonts w:ascii="Arial" w:hAnsi="Arial" w:cs="Arial"/>
          <w:sz w:val="22"/>
          <w:szCs w:val="22"/>
        </w:rPr>
        <w:t>Consent is to be clearly identifiable and separate from other comments entered into the healthcare record</w:t>
      </w:r>
      <w:r w:rsidR="00117275">
        <w:rPr>
          <w:rFonts w:ascii="Arial" w:hAnsi="Arial" w:cs="Arial"/>
          <w:sz w:val="22"/>
          <w:szCs w:val="22"/>
        </w:rPr>
        <w:t xml:space="preserve">. </w:t>
      </w:r>
      <w:r w:rsidRPr="00BD305E">
        <w:rPr>
          <w:rFonts w:ascii="Arial" w:hAnsi="Arial" w:cs="Arial"/>
          <w:sz w:val="22"/>
          <w:szCs w:val="22"/>
        </w:rPr>
        <w:t xml:space="preserve">Furthermore, </w:t>
      </w:r>
      <w:r w:rsidR="00117275">
        <w:rPr>
          <w:rFonts w:ascii="Arial" w:hAnsi="Arial" w:cs="Arial"/>
          <w:sz w:val="22"/>
          <w:szCs w:val="22"/>
        </w:rPr>
        <w:t>this organisation</w:t>
      </w:r>
      <w:r w:rsidRPr="00BD305E">
        <w:rPr>
          <w:rFonts w:ascii="Arial" w:hAnsi="Arial" w:cs="Arial"/>
          <w:sz w:val="22"/>
          <w:szCs w:val="22"/>
        </w:rPr>
        <w:t xml:space="preserve"> must ensure </w:t>
      </w:r>
      <w:r w:rsidR="00966AC0" w:rsidRPr="00BD305E">
        <w:rPr>
          <w:rFonts w:ascii="Arial" w:hAnsi="Arial" w:cs="Arial"/>
          <w:sz w:val="22"/>
          <w:szCs w:val="22"/>
        </w:rPr>
        <w:t xml:space="preserve">that </w:t>
      </w:r>
      <w:r w:rsidRPr="00BD305E">
        <w:rPr>
          <w:rFonts w:ascii="Arial" w:hAnsi="Arial" w:cs="Arial"/>
          <w:sz w:val="22"/>
          <w:szCs w:val="22"/>
        </w:rPr>
        <w:t xml:space="preserve">data subjects (patients) are fully aware of their right to withdraw </w:t>
      </w:r>
      <w:r w:rsidR="00976282" w:rsidRPr="00BD305E">
        <w:rPr>
          <w:rFonts w:ascii="Arial" w:hAnsi="Arial" w:cs="Arial"/>
          <w:sz w:val="22"/>
          <w:szCs w:val="22"/>
        </w:rPr>
        <w:t xml:space="preserve">consent </w:t>
      </w:r>
      <w:r w:rsidR="00117275">
        <w:rPr>
          <w:rFonts w:ascii="Arial" w:hAnsi="Arial" w:cs="Arial"/>
          <w:sz w:val="22"/>
          <w:szCs w:val="22"/>
        </w:rPr>
        <w:t>at any time and</w:t>
      </w:r>
      <w:r w:rsidRPr="00BD305E">
        <w:rPr>
          <w:rFonts w:ascii="Arial" w:hAnsi="Arial" w:cs="Arial"/>
          <w:sz w:val="22"/>
          <w:szCs w:val="22"/>
        </w:rPr>
        <w:t xml:space="preserve"> </w:t>
      </w:r>
      <w:r w:rsidR="00966AC0" w:rsidRPr="00BD305E">
        <w:rPr>
          <w:rFonts w:ascii="Arial" w:hAnsi="Arial" w:cs="Arial"/>
          <w:sz w:val="22"/>
          <w:szCs w:val="22"/>
        </w:rPr>
        <w:t xml:space="preserve">must </w:t>
      </w:r>
      <w:r w:rsidRPr="00BD305E">
        <w:rPr>
          <w:rFonts w:ascii="Arial" w:hAnsi="Arial" w:cs="Arial"/>
          <w:sz w:val="22"/>
          <w:szCs w:val="22"/>
        </w:rPr>
        <w:t xml:space="preserve">facilitate withdrawal as and when it is requested.  </w:t>
      </w:r>
    </w:p>
    <w:p w14:paraId="73BD0D1F" w14:textId="77777777" w:rsidR="00E23FDB" w:rsidRPr="00BD305E" w:rsidRDefault="00E23FDB" w:rsidP="00E23FDB">
      <w:pPr>
        <w:pStyle w:val="Heading2"/>
        <w:rPr>
          <w:rFonts w:ascii="Arial" w:hAnsi="Arial" w:cs="Arial"/>
          <w:smallCaps w:val="0"/>
          <w:sz w:val="24"/>
          <w:szCs w:val="24"/>
          <w:lang w:val="en-GB"/>
        </w:rPr>
      </w:pPr>
      <w:bookmarkStart w:id="109" w:name="_Toc43131940"/>
      <w:bookmarkStart w:id="110" w:name="_Toc160544115"/>
      <w:r w:rsidRPr="00BD305E">
        <w:rPr>
          <w:rFonts w:ascii="Arial" w:hAnsi="Arial" w:cs="Arial"/>
          <w:smallCaps w:val="0"/>
          <w:sz w:val="24"/>
          <w:szCs w:val="24"/>
          <w:lang w:val="en-GB"/>
        </w:rPr>
        <w:t>Parental consent</w:t>
      </w:r>
      <w:bookmarkEnd w:id="109"/>
      <w:bookmarkEnd w:id="110"/>
    </w:p>
    <w:p w14:paraId="36AD4A9C" w14:textId="77777777" w:rsidR="00E23FDB" w:rsidRPr="00BD305E" w:rsidRDefault="00E23FDB" w:rsidP="00E23FDB">
      <w:pPr>
        <w:rPr>
          <w:rFonts w:ascii="Arial" w:hAnsi="Arial" w:cs="Arial"/>
          <w:sz w:val="22"/>
          <w:szCs w:val="22"/>
        </w:rPr>
      </w:pPr>
    </w:p>
    <w:p w14:paraId="5428529F" w14:textId="66F35262" w:rsidR="00C86C72" w:rsidRPr="00980B3C" w:rsidRDefault="00DB182A" w:rsidP="00E23FDB">
      <w:pPr>
        <w:rPr>
          <w:rFonts w:ascii="Arial" w:hAnsi="Arial" w:cs="Arial"/>
          <w:sz w:val="22"/>
          <w:szCs w:val="22"/>
        </w:rPr>
      </w:pPr>
      <w:r w:rsidRPr="00980B3C">
        <w:rPr>
          <w:rFonts w:ascii="Arial" w:hAnsi="Arial" w:cs="Arial"/>
          <w:sz w:val="22"/>
          <w:szCs w:val="22"/>
        </w:rPr>
        <w:t xml:space="preserve">The </w:t>
      </w:r>
      <w:hyperlink r:id="rId53" w:history="1">
        <w:r w:rsidRPr="00980B3C">
          <w:rPr>
            <w:rStyle w:val="Hyperlink"/>
            <w:rFonts w:ascii="Arial" w:hAnsi="Arial" w:cs="Arial"/>
            <w:sz w:val="22"/>
            <w:szCs w:val="22"/>
          </w:rPr>
          <w:t>DPA 2018</w:t>
        </w:r>
      </w:hyperlink>
      <w:r w:rsidRPr="00980B3C">
        <w:rPr>
          <w:rFonts w:ascii="Arial" w:hAnsi="Arial" w:cs="Arial"/>
          <w:sz w:val="22"/>
          <w:szCs w:val="22"/>
        </w:rPr>
        <w:t xml:space="preserve"> states that p</w:t>
      </w:r>
      <w:r w:rsidR="00E23FDB" w:rsidRPr="00980B3C">
        <w:rPr>
          <w:rFonts w:ascii="Arial" w:hAnsi="Arial" w:cs="Arial"/>
          <w:sz w:val="22"/>
          <w:szCs w:val="22"/>
        </w:rPr>
        <w:t>arental consent</w:t>
      </w:r>
      <w:r w:rsidRPr="00980B3C">
        <w:rPr>
          <w:rFonts w:ascii="Arial" w:hAnsi="Arial" w:cs="Arial"/>
          <w:sz w:val="22"/>
          <w:szCs w:val="22"/>
        </w:rPr>
        <w:t xml:space="preserve"> (in relation to personal data)</w:t>
      </w:r>
      <w:r w:rsidR="00E23FDB" w:rsidRPr="00980B3C">
        <w:rPr>
          <w:rFonts w:ascii="Arial" w:hAnsi="Arial" w:cs="Arial"/>
          <w:sz w:val="22"/>
          <w:szCs w:val="22"/>
        </w:rPr>
        <w:t xml:space="preserve"> is required for a child under the age of </w:t>
      </w:r>
      <w:r w:rsidR="00976282" w:rsidRPr="00980B3C">
        <w:rPr>
          <w:rFonts w:ascii="Arial" w:hAnsi="Arial" w:cs="Arial"/>
          <w:sz w:val="22"/>
          <w:szCs w:val="22"/>
        </w:rPr>
        <w:t>13</w:t>
      </w:r>
      <w:r w:rsidRPr="00980B3C">
        <w:rPr>
          <w:rFonts w:ascii="Arial" w:hAnsi="Arial" w:cs="Arial"/>
          <w:sz w:val="22"/>
          <w:szCs w:val="22"/>
        </w:rPr>
        <w:t xml:space="preserve">. </w:t>
      </w:r>
      <w:r w:rsidR="00E23FDB" w:rsidRPr="00980B3C">
        <w:rPr>
          <w:rFonts w:ascii="Arial" w:hAnsi="Arial" w:cs="Arial"/>
          <w:sz w:val="22"/>
          <w:szCs w:val="22"/>
        </w:rPr>
        <w:t xml:space="preserve"> Additionally, the principle of Gillick competence remains unaffected</w:t>
      </w:r>
      <w:r w:rsidR="00125496" w:rsidRPr="00980B3C">
        <w:rPr>
          <w:rFonts w:ascii="Arial" w:hAnsi="Arial" w:cs="Arial"/>
          <w:sz w:val="22"/>
          <w:szCs w:val="22"/>
        </w:rPr>
        <w:t xml:space="preserve"> and</w:t>
      </w:r>
      <w:r w:rsidR="00E23FDB" w:rsidRPr="00980B3C">
        <w:rPr>
          <w:rFonts w:ascii="Arial" w:hAnsi="Arial" w:cs="Arial"/>
          <w:sz w:val="22"/>
          <w:szCs w:val="22"/>
        </w:rPr>
        <w:t xml:space="preserve"> parental consent </w:t>
      </w:r>
      <w:r w:rsidR="00125496" w:rsidRPr="00980B3C">
        <w:rPr>
          <w:rFonts w:ascii="Arial" w:hAnsi="Arial" w:cs="Arial"/>
          <w:sz w:val="22"/>
          <w:szCs w:val="22"/>
        </w:rPr>
        <w:t xml:space="preserve">is not </w:t>
      </w:r>
      <w:r w:rsidR="00E23FDB" w:rsidRPr="00980B3C">
        <w:rPr>
          <w:rFonts w:ascii="Arial" w:hAnsi="Arial" w:cs="Arial"/>
          <w:sz w:val="22"/>
          <w:szCs w:val="22"/>
        </w:rPr>
        <w:t>necessary when a child is receiving counselling or preventative care.</w:t>
      </w:r>
    </w:p>
    <w:p w14:paraId="6E0F6F5C" w14:textId="612FFF40" w:rsidR="00C86C72" w:rsidRPr="00980B3C" w:rsidRDefault="00C86C72" w:rsidP="00E23FDB">
      <w:pPr>
        <w:rPr>
          <w:rFonts w:ascii="Arial" w:hAnsi="Arial" w:cs="Arial"/>
          <w:sz w:val="22"/>
          <w:szCs w:val="22"/>
        </w:rPr>
      </w:pPr>
    </w:p>
    <w:p w14:paraId="45C81AC1" w14:textId="642F56B5" w:rsidR="00C86C72" w:rsidRPr="00980B3C" w:rsidRDefault="00DB182A" w:rsidP="00E23FDB">
      <w:pPr>
        <w:rPr>
          <w:rFonts w:ascii="Arial" w:hAnsi="Arial" w:cs="Arial"/>
          <w:sz w:val="22"/>
          <w:szCs w:val="22"/>
        </w:rPr>
      </w:pPr>
      <w:r w:rsidRPr="00980B3C">
        <w:rPr>
          <w:rFonts w:ascii="Arial" w:hAnsi="Arial" w:cs="Arial"/>
          <w:sz w:val="22"/>
          <w:szCs w:val="22"/>
        </w:rPr>
        <w:t>For further information r</w:t>
      </w:r>
      <w:r w:rsidR="00C86C72" w:rsidRPr="00980B3C">
        <w:rPr>
          <w:rFonts w:ascii="Arial" w:hAnsi="Arial" w:cs="Arial"/>
          <w:sz w:val="22"/>
          <w:szCs w:val="22"/>
        </w:rPr>
        <w:t xml:space="preserve">efer to the </w:t>
      </w:r>
      <w:hyperlink r:id="rId54" w:history="1">
        <w:r w:rsidR="00BF5DAF" w:rsidRPr="00980B3C">
          <w:rPr>
            <w:rStyle w:val="Hyperlink"/>
            <w:rFonts w:ascii="Arial" w:hAnsi="Arial" w:cs="Arial"/>
            <w:sz w:val="22"/>
            <w:szCs w:val="22"/>
          </w:rPr>
          <w:t>Consent Guidance</w:t>
        </w:r>
      </w:hyperlink>
      <w:r w:rsidRPr="00980B3C">
        <w:rPr>
          <w:rStyle w:val="Hyperlink"/>
          <w:rFonts w:ascii="Arial" w:hAnsi="Arial" w:cs="Arial"/>
          <w:color w:val="auto"/>
          <w:sz w:val="22"/>
          <w:szCs w:val="22"/>
          <w:u w:val="none"/>
        </w:rPr>
        <w:t>.</w:t>
      </w:r>
      <w:r w:rsidRPr="00980B3C">
        <w:rPr>
          <w:rStyle w:val="Hyperlink"/>
          <w:rFonts w:ascii="Arial" w:hAnsi="Arial" w:cs="Arial"/>
          <w:sz w:val="22"/>
          <w:szCs w:val="22"/>
        </w:rPr>
        <w:t xml:space="preserve"> </w:t>
      </w:r>
    </w:p>
    <w:p w14:paraId="6185E205" w14:textId="77777777" w:rsidR="0094362B" w:rsidRPr="00BD305E" w:rsidRDefault="0094362B" w:rsidP="00E23FDB">
      <w:pPr>
        <w:rPr>
          <w:rFonts w:ascii="Arial" w:hAnsi="Arial" w:cs="Arial"/>
          <w:sz w:val="20"/>
          <w:szCs w:val="20"/>
        </w:rPr>
      </w:pPr>
    </w:p>
    <w:p w14:paraId="5FD3BD77" w14:textId="299C1B1D" w:rsidR="00BE2434" w:rsidRPr="00BD305E" w:rsidRDefault="00C56C06" w:rsidP="00125496">
      <w:pPr>
        <w:pStyle w:val="Heading1"/>
        <w:keepLines/>
        <w:pBdr>
          <w:bottom w:val="single" w:sz="4" w:space="1" w:color="595959" w:themeColor="text1" w:themeTint="A6"/>
        </w:pBdr>
        <w:spacing w:after="160" w:line="259" w:lineRule="auto"/>
        <w:ind w:left="431" w:hanging="431"/>
        <w:rPr>
          <w:sz w:val="28"/>
          <w:szCs w:val="28"/>
        </w:rPr>
      </w:pPr>
      <w:bookmarkStart w:id="111" w:name="_Toc43131941"/>
      <w:bookmarkStart w:id="112" w:name="_Toc160544116"/>
      <w:r w:rsidRPr="00BD305E">
        <w:rPr>
          <w:sz w:val="28"/>
          <w:szCs w:val="28"/>
        </w:rPr>
        <w:t>Data mapping and Data Protection Impact Assessments</w:t>
      </w:r>
      <w:bookmarkEnd w:id="111"/>
      <w:bookmarkEnd w:id="112"/>
    </w:p>
    <w:p w14:paraId="6C69FB6E" w14:textId="4E008DA1" w:rsidR="00BE2434" w:rsidRPr="00BD305E" w:rsidRDefault="00BE2434" w:rsidP="00BE2434">
      <w:pPr>
        <w:pStyle w:val="Heading2"/>
        <w:rPr>
          <w:rFonts w:ascii="Arial" w:hAnsi="Arial" w:cs="Arial"/>
          <w:smallCaps w:val="0"/>
          <w:sz w:val="24"/>
          <w:szCs w:val="24"/>
          <w:lang w:val="en-GB"/>
        </w:rPr>
      </w:pPr>
      <w:bookmarkStart w:id="113" w:name="_Toc43131942"/>
      <w:bookmarkStart w:id="114" w:name="_Toc160544117"/>
      <w:r w:rsidRPr="00BD305E">
        <w:rPr>
          <w:rFonts w:ascii="Arial" w:hAnsi="Arial" w:cs="Arial"/>
          <w:smallCaps w:val="0"/>
          <w:sz w:val="24"/>
          <w:szCs w:val="24"/>
          <w:lang w:val="en-GB"/>
        </w:rPr>
        <w:t xml:space="preserve">Data </w:t>
      </w:r>
      <w:r w:rsidR="000D2BB3" w:rsidRPr="00BD305E">
        <w:rPr>
          <w:rFonts w:ascii="Arial" w:hAnsi="Arial" w:cs="Arial"/>
          <w:smallCaps w:val="0"/>
          <w:sz w:val="24"/>
          <w:szCs w:val="24"/>
          <w:lang w:val="en-GB"/>
        </w:rPr>
        <w:t>m</w:t>
      </w:r>
      <w:r w:rsidRPr="00BD305E">
        <w:rPr>
          <w:rFonts w:ascii="Arial" w:hAnsi="Arial" w:cs="Arial"/>
          <w:smallCaps w:val="0"/>
          <w:sz w:val="24"/>
          <w:szCs w:val="24"/>
          <w:lang w:val="en-GB"/>
        </w:rPr>
        <w:t>apping</w:t>
      </w:r>
      <w:bookmarkEnd w:id="113"/>
      <w:bookmarkEnd w:id="114"/>
    </w:p>
    <w:p w14:paraId="7552F10A" w14:textId="77777777" w:rsidR="00397377" w:rsidRPr="00BD305E" w:rsidRDefault="00397377" w:rsidP="00BE2434">
      <w:pPr>
        <w:rPr>
          <w:rFonts w:ascii="Arial" w:hAnsi="Arial" w:cs="Arial"/>
          <w:sz w:val="22"/>
          <w:szCs w:val="22"/>
          <w:lang w:eastAsia="en-US"/>
        </w:rPr>
      </w:pPr>
    </w:p>
    <w:p w14:paraId="09DA2524" w14:textId="090E21FD" w:rsidR="003E3117" w:rsidRPr="00BD305E" w:rsidRDefault="003E3117" w:rsidP="00BE2434">
      <w:pPr>
        <w:rPr>
          <w:rFonts w:ascii="Arial" w:hAnsi="Arial" w:cs="Arial"/>
          <w:sz w:val="22"/>
          <w:szCs w:val="22"/>
          <w:lang w:eastAsia="en-US"/>
        </w:rPr>
      </w:pPr>
      <w:r w:rsidRPr="00BD305E">
        <w:rPr>
          <w:rFonts w:ascii="Arial" w:hAnsi="Arial" w:cs="Arial"/>
          <w:sz w:val="22"/>
          <w:szCs w:val="22"/>
          <w:lang w:eastAsia="en-US"/>
        </w:rPr>
        <w:t>Data mapping is a means of determining the information fl</w:t>
      </w:r>
      <w:r w:rsidR="00E57B8F" w:rsidRPr="00BD305E">
        <w:rPr>
          <w:rFonts w:ascii="Arial" w:hAnsi="Arial" w:cs="Arial"/>
          <w:sz w:val="22"/>
          <w:szCs w:val="22"/>
          <w:lang w:eastAsia="en-US"/>
        </w:rPr>
        <w:t xml:space="preserve">ow throughout an organisation. </w:t>
      </w:r>
      <w:r w:rsidRPr="00BD305E">
        <w:rPr>
          <w:rFonts w:ascii="Arial" w:hAnsi="Arial" w:cs="Arial"/>
          <w:sz w:val="22"/>
          <w:szCs w:val="22"/>
          <w:lang w:eastAsia="en-US"/>
        </w:rPr>
        <w:t xml:space="preserve">Understanding the why, who, what, when and where of the information pathway will enable </w:t>
      </w:r>
      <w:r w:rsidR="00980B3C">
        <w:rPr>
          <w:rFonts w:ascii="Arial" w:hAnsi="Arial" w:cs="Arial"/>
          <w:sz w:val="22"/>
          <w:szCs w:val="22"/>
          <w:lang w:eastAsia="en-US"/>
        </w:rPr>
        <w:t xml:space="preserve">this organisation </w:t>
      </w:r>
      <w:r w:rsidRPr="00BD305E">
        <w:rPr>
          <w:rFonts w:ascii="Arial" w:hAnsi="Arial" w:cs="Arial"/>
          <w:sz w:val="22"/>
          <w:szCs w:val="22"/>
          <w:lang w:eastAsia="en-US"/>
        </w:rPr>
        <w:t>to undertake a thorough assessment of the risks associated with current data processes.</w:t>
      </w:r>
    </w:p>
    <w:p w14:paraId="07CD76B9" w14:textId="705041C4" w:rsidR="003E3117" w:rsidRPr="00BD305E" w:rsidRDefault="003E3117" w:rsidP="00BE2434">
      <w:pPr>
        <w:rPr>
          <w:rFonts w:ascii="Arial" w:hAnsi="Arial" w:cs="Arial"/>
          <w:sz w:val="22"/>
          <w:szCs w:val="22"/>
          <w:lang w:eastAsia="en-US"/>
        </w:rPr>
      </w:pPr>
    </w:p>
    <w:p w14:paraId="51F7DCA3" w14:textId="534B8ED2" w:rsidR="003E3117" w:rsidRPr="00BD305E" w:rsidRDefault="003E3117" w:rsidP="00BE2434">
      <w:pPr>
        <w:rPr>
          <w:rFonts w:ascii="Arial" w:hAnsi="Arial" w:cs="Arial"/>
          <w:sz w:val="22"/>
          <w:szCs w:val="22"/>
          <w:lang w:eastAsia="en-US"/>
        </w:rPr>
      </w:pPr>
      <w:r w:rsidRPr="00BD305E">
        <w:rPr>
          <w:rFonts w:ascii="Arial" w:hAnsi="Arial" w:cs="Arial"/>
          <w:sz w:val="22"/>
          <w:szCs w:val="22"/>
          <w:lang w:eastAsia="en-US"/>
        </w:rPr>
        <w:t>Effective data mapping will identify wha</w:t>
      </w:r>
      <w:r w:rsidR="000D2BB3" w:rsidRPr="00BD305E">
        <w:rPr>
          <w:rFonts w:ascii="Arial" w:hAnsi="Arial" w:cs="Arial"/>
          <w:sz w:val="22"/>
          <w:szCs w:val="22"/>
          <w:lang w:eastAsia="en-US"/>
        </w:rPr>
        <w:t>t</w:t>
      </w:r>
      <w:r w:rsidRPr="00BD305E">
        <w:rPr>
          <w:rFonts w:ascii="Arial" w:hAnsi="Arial" w:cs="Arial"/>
          <w:sz w:val="22"/>
          <w:szCs w:val="22"/>
          <w:lang w:eastAsia="en-US"/>
        </w:rPr>
        <w:t xml:space="preserve"> data is being processed, the format of the data, how it is being transferred, if the data is being shared</w:t>
      </w:r>
      <w:r w:rsidR="00E57B8F" w:rsidRPr="00BD305E">
        <w:rPr>
          <w:rFonts w:ascii="Arial" w:hAnsi="Arial" w:cs="Arial"/>
          <w:sz w:val="22"/>
          <w:szCs w:val="22"/>
          <w:lang w:eastAsia="en-US"/>
        </w:rPr>
        <w:t xml:space="preserve"> and where it is </w:t>
      </w:r>
      <w:r w:rsidRPr="00BD305E">
        <w:rPr>
          <w:rFonts w:ascii="Arial" w:hAnsi="Arial" w:cs="Arial"/>
          <w:sz w:val="22"/>
          <w:szCs w:val="22"/>
          <w:lang w:eastAsia="en-US"/>
        </w:rPr>
        <w:t>store</w:t>
      </w:r>
      <w:r w:rsidR="00E57B8F" w:rsidRPr="00BD305E">
        <w:rPr>
          <w:rFonts w:ascii="Arial" w:hAnsi="Arial" w:cs="Arial"/>
          <w:sz w:val="22"/>
          <w:szCs w:val="22"/>
          <w:lang w:eastAsia="en-US"/>
        </w:rPr>
        <w:t>d</w:t>
      </w:r>
      <w:r w:rsidRPr="00BD305E">
        <w:rPr>
          <w:rFonts w:ascii="Arial" w:hAnsi="Arial" w:cs="Arial"/>
          <w:sz w:val="22"/>
          <w:szCs w:val="22"/>
          <w:lang w:eastAsia="en-US"/>
        </w:rPr>
        <w:t xml:space="preserve"> (including off-site storage if applicable).  </w:t>
      </w:r>
    </w:p>
    <w:p w14:paraId="2552C4FF" w14:textId="77777777" w:rsidR="00BE2434" w:rsidRPr="00BD305E" w:rsidRDefault="00BE2434" w:rsidP="00BE2434">
      <w:pPr>
        <w:rPr>
          <w:rFonts w:ascii="Arial" w:hAnsi="Arial" w:cs="Arial"/>
          <w:sz w:val="22"/>
          <w:szCs w:val="22"/>
          <w:lang w:eastAsia="en-US"/>
        </w:rPr>
      </w:pPr>
    </w:p>
    <w:p w14:paraId="20FE5FC6" w14:textId="5473090F" w:rsidR="00B337C9" w:rsidRPr="00BD305E" w:rsidRDefault="00B2360B" w:rsidP="00E2519D">
      <w:pPr>
        <w:rPr>
          <w:rFonts w:ascii="Arial" w:hAnsi="Arial" w:cs="Arial"/>
          <w:sz w:val="22"/>
          <w:szCs w:val="22"/>
        </w:rPr>
      </w:pPr>
      <w:r w:rsidRPr="00BD305E">
        <w:rPr>
          <w:rFonts w:ascii="Arial" w:hAnsi="Arial" w:cs="Arial"/>
          <w:sz w:val="22"/>
          <w:szCs w:val="22"/>
        </w:rPr>
        <w:t xml:space="preserve">The </w:t>
      </w:r>
      <w:hyperlink r:id="rId55" w:history="1">
        <w:r w:rsidR="00980B3C" w:rsidRPr="00980B3C">
          <w:rPr>
            <w:rStyle w:val="Hyperlink"/>
            <w:rFonts w:ascii="Arial" w:hAnsi="Arial" w:cs="Arial"/>
            <w:sz w:val="22"/>
            <w:szCs w:val="22"/>
          </w:rPr>
          <w:t>Register of Processing Activities (ROPA)</w:t>
        </w:r>
      </w:hyperlink>
      <w:r w:rsidR="003E3117" w:rsidRPr="00BD305E">
        <w:rPr>
          <w:rFonts w:ascii="Arial" w:hAnsi="Arial" w:cs="Arial"/>
          <w:sz w:val="22"/>
          <w:szCs w:val="22"/>
        </w:rPr>
        <w:t xml:space="preserve"> details the process of data mapping at </w:t>
      </w:r>
      <w:r w:rsidRPr="00BD305E">
        <w:rPr>
          <w:rFonts w:ascii="Arial" w:hAnsi="Arial" w:cs="Arial"/>
          <w:sz w:val="22"/>
          <w:szCs w:val="22"/>
          <w:lang w:eastAsia="en-US"/>
        </w:rPr>
        <w:t>this organisation.</w:t>
      </w:r>
    </w:p>
    <w:p w14:paraId="7CED0DCF" w14:textId="38F6235B" w:rsidR="000D2BB3" w:rsidRPr="00BD305E" w:rsidRDefault="00E57B8F" w:rsidP="000D2BB3">
      <w:pPr>
        <w:pStyle w:val="Heading2"/>
        <w:rPr>
          <w:rFonts w:ascii="Arial" w:hAnsi="Arial" w:cs="Arial"/>
          <w:smallCaps w:val="0"/>
          <w:sz w:val="24"/>
          <w:szCs w:val="24"/>
          <w:lang w:val="en-GB"/>
        </w:rPr>
      </w:pPr>
      <w:bookmarkStart w:id="115" w:name="_Toc43131943"/>
      <w:bookmarkStart w:id="116" w:name="_Toc160544118"/>
      <w:r w:rsidRPr="00BD305E">
        <w:rPr>
          <w:rFonts w:ascii="Arial" w:hAnsi="Arial" w:cs="Arial"/>
          <w:smallCaps w:val="0"/>
          <w:sz w:val="24"/>
          <w:szCs w:val="24"/>
          <w:lang w:val="en-GB"/>
        </w:rPr>
        <w:t>Data mapping and the Data Protection Impact A</w:t>
      </w:r>
      <w:r w:rsidR="000D2BB3" w:rsidRPr="00BD305E">
        <w:rPr>
          <w:rFonts w:ascii="Arial" w:hAnsi="Arial" w:cs="Arial"/>
          <w:smallCaps w:val="0"/>
          <w:sz w:val="24"/>
          <w:szCs w:val="24"/>
          <w:lang w:val="en-GB"/>
        </w:rPr>
        <w:t>ssessment</w:t>
      </w:r>
      <w:bookmarkEnd w:id="115"/>
      <w:bookmarkEnd w:id="116"/>
    </w:p>
    <w:p w14:paraId="59E950C5" w14:textId="77777777" w:rsidR="00B337C9" w:rsidRPr="00BD305E" w:rsidRDefault="00B337C9" w:rsidP="00E2519D">
      <w:pPr>
        <w:rPr>
          <w:rFonts w:ascii="Arial" w:hAnsi="Arial" w:cs="Arial"/>
        </w:rPr>
      </w:pPr>
    </w:p>
    <w:p w14:paraId="03B3B6AA" w14:textId="5C2F7152" w:rsidR="000D2BB3" w:rsidRPr="00BD305E" w:rsidRDefault="000D2BB3" w:rsidP="00E2519D">
      <w:pPr>
        <w:rPr>
          <w:rFonts w:ascii="Arial" w:hAnsi="Arial" w:cs="Arial"/>
          <w:sz w:val="22"/>
          <w:szCs w:val="22"/>
        </w:rPr>
      </w:pPr>
      <w:r w:rsidRPr="00BD305E">
        <w:rPr>
          <w:rFonts w:ascii="Arial" w:hAnsi="Arial" w:cs="Arial"/>
          <w:sz w:val="22"/>
          <w:szCs w:val="22"/>
        </w:rPr>
        <w:t>Data mapping i</w:t>
      </w:r>
      <w:r w:rsidR="00820D27" w:rsidRPr="00BD305E">
        <w:rPr>
          <w:rFonts w:ascii="Arial" w:hAnsi="Arial" w:cs="Arial"/>
          <w:sz w:val="22"/>
          <w:szCs w:val="22"/>
        </w:rPr>
        <w:t xml:space="preserve">s linked to the Data Protection </w:t>
      </w:r>
      <w:r w:rsidRPr="00BD305E">
        <w:rPr>
          <w:rFonts w:ascii="Arial" w:hAnsi="Arial" w:cs="Arial"/>
          <w:sz w:val="22"/>
          <w:szCs w:val="22"/>
        </w:rPr>
        <w:t>Impact Assessment (DPIA) and</w:t>
      </w:r>
      <w:r w:rsidR="00125496" w:rsidRPr="00BD305E">
        <w:rPr>
          <w:rFonts w:ascii="Arial" w:hAnsi="Arial" w:cs="Arial"/>
          <w:sz w:val="22"/>
          <w:szCs w:val="22"/>
        </w:rPr>
        <w:t>,</w:t>
      </w:r>
      <w:r w:rsidRPr="00BD305E">
        <w:rPr>
          <w:rFonts w:ascii="Arial" w:hAnsi="Arial" w:cs="Arial"/>
          <w:sz w:val="22"/>
          <w:szCs w:val="22"/>
        </w:rPr>
        <w:t xml:space="preserve"> when the risk analysis element of the DPIA process is undertaken, the information ascertained during the mapping process can be used.</w:t>
      </w:r>
    </w:p>
    <w:p w14:paraId="26697AA8" w14:textId="64B33259" w:rsidR="000B3712" w:rsidRPr="00BD305E" w:rsidRDefault="00820D27" w:rsidP="000B3712">
      <w:pPr>
        <w:pStyle w:val="Heading2"/>
        <w:rPr>
          <w:rFonts w:ascii="Arial" w:hAnsi="Arial" w:cs="Arial"/>
          <w:smallCaps w:val="0"/>
          <w:sz w:val="24"/>
          <w:szCs w:val="24"/>
          <w:lang w:val="en-GB"/>
        </w:rPr>
      </w:pPr>
      <w:bookmarkStart w:id="117" w:name="_Toc43131944"/>
      <w:bookmarkStart w:id="118" w:name="_Toc160544119"/>
      <w:r w:rsidRPr="00BD305E">
        <w:rPr>
          <w:rFonts w:ascii="Arial" w:hAnsi="Arial" w:cs="Arial"/>
          <w:smallCaps w:val="0"/>
          <w:sz w:val="24"/>
          <w:szCs w:val="24"/>
          <w:lang w:val="en-GB"/>
        </w:rPr>
        <w:t>Data Protection Impact A</w:t>
      </w:r>
      <w:r w:rsidR="000B3712" w:rsidRPr="00BD305E">
        <w:rPr>
          <w:rFonts w:ascii="Arial" w:hAnsi="Arial" w:cs="Arial"/>
          <w:smallCaps w:val="0"/>
          <w:sz w:val="24"/>
          <w:szCs w:val="24"/>
          <w:lang w:val="en-GB"/>
        </w:rPr>
        <w:t>ssessment</w:t>
      </w:r>
      <w:bookmarkEnd w:id="117"/>
      <w:bookmarkEnd w:id="118"/>
    </w:p>
    <w:p w14:paraId="0CFF21CF" w14:textId="11D24F46" w:rsidR="000B3712" w:rsidRPr="00BD305E" w:rsidRDefault="000B3712" w:rsidP="000B3712">
      <w:pPr>
        <w:rPr>
          <w:lang w:eastAsia="en-US"/>
        </w:rPr>
      </w:pPr>
    </w:p>
    <w:p w14:paraId="27DB0A71" w14:textId="076C1F0C" w:rsidR="000B3712" w:rsidRPr="00BD305E" w:rsidRDefault="00F7098E" w:rsidP="000B3712">
      <w:pPr>
        <w:rPr>
          <w:rFonts w:ascii="Arial" w:hAnsi="Arial" w:cs="Arial"/>
          <w:sz w:val="22"/>
          <w:szCs w:val="22"/>
          <w:lang w:eastAsia="en-US"/>
        </w:rPr>
      </w:pPr>
      <w:r>
        <w:rPr>
          <w:rFonts w:ascii="Arial" w:hAnsi="Arial" w:cs="Arial"/>
          <w:sz w:val="22"/>
          <w:szCs w:val="22"/>
          <w:lang w:eastAsia="en-US"/>
        </w:rPr>
        <w:t xml:space="preserve">The </w:t>
      </w:r>
      <w:hyperlink r:id="rId56" w:anchor="what1" w:history="1">
        <w:r w:rsidRPr="00F7098E">
          <w:rPr>
            <w:rStyle w:val="Hyperlink"/>
            <w:rFonts w:ascii="Arial" w:hAnsi="Arial" w:cs="Arial"/>
            <w:sz w:val="22"/>
            <w:szCs w:val="22"/>
            <w:lang w:eastAsia="en-US"/>
          </w:rPr>
          <w:t>ICO</w:t>
        </w:r>
      </w:hyperlink>
      <w:r>
        <w:rPr>
          <w:rFonts w:ascii="Arial" w:hAnsi="Arial" w:cs="Arial"/>
          <w:sz w:val="22"/>
          <w:szCs w:val="22"/>
          <w:lang w:eastAsia="en-US"/>
        </w:rPr>
        <w:t xml:space="preserve"> explain</w:t>
      </w:r>
      <w:r w:rsidR="006B16BA">
        <w:rPr>
          <w:rFonts w:ascii="Arial" w:hAnsi="Arial" w:cs="Arial"/>
          <w:sz w:val="22"/>
          <w:szCs w:val="22"/>
          <w:lang w:eastAsia="en-US"/>
        </w:rPr>
        <w:t>s</w:t>
      </w:r>
      <w:r>
        <w:rPr>
          <w:rFonts w:ascii="Arial" w:hAnsi="Arial" w:cs="Arial"/>
          <w:sz w:val="22"/>
          <w:szCs w:val="22"/>
          <w:lang w:eastAsia="en-US"/>
        </w:rPr>
        <w:t xml:space="preserve"> that conducting a DPIA is a legal requirement for any type of processing, and a </w:t>
      </w:r>
      <w:r w:rsidR="000B3712" w:rsidRPr="00BD305E">
        <w:rPr>
          <w:rFonts w:ascii="Arial" w:hAnsi="Arial" w:cs="Arial"/>
          <w:sz w:val="22"/>
          <w:szCs w:val="22"/>
          <w:lang w:eastAsia="en-US"/>
        </w:rPr>
        <w:t xml:space="preserve">DPIA is the most efficient way for </w:t>
      </w:r>
      <w:r w:rsidR="00B2360B" w:rsidRPr="00BD305E">
        <w:rPr>
          <w:rFonts w:ascii="Arial" w:hAnsi="Arial" w:cs="Arial"/>
          <w:sz w:val="22"/>
          <w:szCs w:val="22"/>
          <w:lang w:eastAsia="en-US"/>
        </w:rPr>
        <w:t>this organisation</w:t>
      </w:r>
      <w:r w:rsidR="00B2360B" w:rsidRPr="00BD305E" w:rsidDel="00B2360B">
        <w:rPr>
          <w:rFonts w:ascii="Arial" w:hAnsi="Arial" w:cs="Arial"/>
          <w:sz w:val="22"/>
          <w:szCs w:val="22"/>
          <w:lang w:eastAsia="en-US"/>
        </w:rPr>
        <w:t xml:space="preserve"> </w:t>
      </w:r>
      <w:r w:rsidR="00820D27" w:rsidRPr="00BD305E">
        <w:rPr>
          <w:rFonts w:ascii="Arial" w:hAnsi="Arial" w:cs="Arial"/>
          <w:sz w:val="22"/>
          <w:szCs w:val="22"/>
          <w:lang w:eastAsia="en-US"/>
        </w:rPr>
        <w:t xml:space="preserve">to meet its </w:t>
      </w:r>
      <w:r w:rsidR="000B3712" w:rsidRPr="00BD305E">
        <w:rPr>
          <w:rFonts w:ascii="Arial" w:hAnsi="Arial" w:cs="Arial"/>
          <w:sz w:val="22"/>
          <w:szCs w:val="22"/>
          <w:lang w:eastAsia="en-US"/>
        </w:rPr>
        <w:t>data p</w:t>
      </w:r>
      <w:r w:rsidR="00820D27" w:rsidRPr="00BD305E">
        <w:rPr>
          <w:rFonts w:ascii="Arial" w:hAnsi="Arial" w:cs="Arial"/>
          <w:sz w:val="22"/>
          <w:szCs w:val="22"/>
          <w:lang w:eastAsia="en-US"/>
        </w:rPr>
        <w:t xml:space="preserve">rotection obligations and the expectations of its data subjects. </w:t>
      </w:r>
      <w:r w:rsidR="000B3712" w:rsidRPr="00BD305E">
        <w:rPr>
          <w:rFonts w:ascii="Arial" w:hAnsi="Arial" w:cs="Arial"/>
          <w:sz w:val="22"/>
          <w:szCs w:val="22"/>
          <w:lang w:eastAsia="en-US"/>
        </w:rPr>
        <w:t>DPIA</w:t>
      </w:r>
      <w:r w:rsidR="00820D27" w:rsidRPr="00BD305E">
        <w:rPr>
          <w:rFonts w:ascii="Arial" w:hAnsi="Arial" w:cs="Arial"/>
          <w:sz w:val="22"/>
          <w:szCs w:val="22"/>
          <w:lang w:eastAsia="en-US"/>
        </w:rPr>
        <w:t>s</w:t>
      </w:r>
      <w:r w:rsidR="000B3712" w:rsidRPr="00BD305E">
        <w:rPr>
          <w:rFonts w:ascii="Arial" w:hAnsi="Arial" w:cs="Arial"/>
          <w:sz w:val="22"/>
          <w:szCs w:val="22"/>
          <w:lang w:eastAsia="en-US"/>
        </w:rPr>
        <w:t xml:space="preserve"> ar</w:t>
      </w:r>
      <w:r w:rsidR="00820D27" w:rsidRPr="00BD305E">
        <w:rPr>
          <w:rFonts w:ascii="Arial" w:hAnsi="Arial" w:cs="Arial"/>
          <w:sz w:val="22"/>
          <w:szCs w:val="22"/>
          <w:lang w:eastAsia="en-US"/>
        </w:rPr>
        <w:t>e also commonly referred to as Privacy Impact A</w:t>
      </w:r>
      <w:r w:rsidR="000B3712" w:rsidRPr="00BD305E">
        <w:rPr>
          <w:rFonts w:ascii="Arial" w:hAnsi="Arial" w:cs="Arial"/>
          <w:sz w:val="22"/>
          <w:szCs w:val="22"/>
          <w:lang w:eastAsia="en-US"/>
        </w:rPr>
        <w:t>ssessments or PIAs.</w:t>
      </w:r>
    </w:p>
    <w:p w14:paraId="7B6C7988" w14:textId="0D9B6ED2" w:rsidR="000B3712" w:rsidRPr="00BD305E" w:rsidRDefault="000B3712" w:rsidP="000B3712">
      <w:pPr>
        <w:rPr>
          <w:rFonts w:ascii="Arial" w:hAnsi="Arial" w:cs="Arial"/>
          <w:sz w:val="22"/>
          <w:szCs w:val="22"/>
          <w:lang w:eastAsia="en-US"/>
        </w:rPr>
      </w:pPr>
      <w:r w:rsidRPr="00BD305E">
        <w:rPr>
          <w:rFonts w:ascii="Arial" w:hAnsi="Arial" w:cs="Arial"/>
          <w:sz w:val="22"/>
          <w:szCs w:val="22"/>
          <w:lang w:eastAsia="en-US"/>
        </w:rPr>
        <w:t xml:space="preserve">In accordance with </w:t>
      </w:r>
      <w:hyperlink r:id="rId57" w:history="1">
        <w:r w:rsidRPr="00BD305E">
          <w:rPr>
            <w:rStyle w:val="Hyperlink"/>
            <w:rFonts w:ascii="Arial" w:hAnsi="Arial" w:cs="Arial"/>
            <w:sz w:val="22"/>
            <w:szCs w:val="22"/>
            <w:lang w:eastAsia="en-US"/>
          </w:rPr>
          <w:t>Article 35</w:t>
        </w:r>
      </w:hyperlink>
      <w:r w:rsidRPr="00BD305E">
        <w:rPr>
          <w:rFonts w:ascii="Arial" w:hAnsi="Arial" w:cs="Arial"/>
          <w:sz w:val="22"/>
          <w:szCs w:val="22"/>
          <w:lang w:eastAsia="en-US"/>
        </w:rPr>
        <w:t xml:space="preserve"> of the </w:t>
      </w:r>
      <w:r w:rsidR="00DB182A" w:rsidRPr="00BD305E">
        <w:rPr>
          <w:rFonts w:ascii="Arial" w:hAnsi="Arial" w:cs="Arial"/>
          <w:sz w:val="22"/>
          <w:szCs w:val="22"/>
          <w:lang w:eastAsia="en-US"/>
        </w:rPr>
        <w:t xml:space="preserve">UK </w:t>
      </w:r>
      <w:r w:rsidRPr="00BD305E">
        <w:rPr>
          <w:rFonts w:ascii="Arial" w:hAnsi="Arial" w:cs="Arial"/>
          <w:sz w:val="22"/>
          <w:szCs w:val="22"/>
          <w:lang w:eastAsia="en-US"/>
        </w:rPr>
        <w:t xml:space="preserve">GDPR, </w:t>
      </w:r>
      <w:r w:rsidR="00DB182A" w:rsidRPr="00BD305E">
        <w:rPr>
          <w:rFonts w:ascii="Arial" w:hAnsi="Arial" w:cs="Arial"/>
          <w:sz w:val="22"/>
          <w:szCs w:val="22"/>
          <w:lang w:eastAsia="en-US"/>
        </w:rPr>
        <w:t xml:space="preserve">a </w:t>
      </w:r>
      <w:r w:rsidRPr="00BD305E">
        <w:rPr>
          <w:rFonts w:ascii="Arial" w:hAnsi="Arial" w:cs="Arial"/>
          <w:sz w:val="22"/>
          <w:szCs w:val="22"/>
          <w:lang w:eastAsia="en-US"/>
        </w:rPr>
        <w:t>DPIA should be undertaken</w:t>
      </w:r>
      <w:r w:rsidR="00042369" w:rsidRPr="00BD305E">
        <w:rPr>
          <w:rFonts w:ascii="Arial" w:hAnsi="Arial" w:cs="Arial"/>
          <w:sz w:val="22"/>
          <w:szCs w:val="22"/>
          <w:lang w:eastAsia="en-US"/>
        </w:rPr>
        <w:t xml:space="preserve"> whe</w:t>
      </w:r>
      <w:r w:rsidR="006B16BA">
        <w:rPr>
          <w:rFonts w:ascii="Arial" w:hAnsi="Arial" w:cs="Arial"/>
          <w:sz w:val="22"/>
          <w:szCs w:val="22"/>
          <w:lang w:eastAsia="en-US"/>
        </w:rPr>
        <w:t>n</w:t>
      </w:r>
      <w:r w:rsidRPr="00BD305E">
        <w:rPr>
          <w:rFonts w:ascii="Arial" w:hAnsi="Arial" w:cs="Arial"/>
          <w:sz w:val="22"/>
          <w:szCs w:val="22"/>
          <w:lang w:eastAsia="en-US"/>
        </w:rPr>
        <w:t>:</w:t>
      </w:r>
    </w:p>
    <w:p w14:paraId="7A027FFE" w14:textId="6C501856" w:rsidR="000B3712" w:rsidRPr="00BD305E" w:rsidRDefault="00042369" w:rsidP="000B3712">
      <w:pPr>
        <w:numPr>
          <w:ilvl w:val="0"/>
          <w:numId w:val="14"/>
        </w:numPr>
        <w:spacing w:before="240" w:after="240"/>
        <w:textAlignment w:val="baseline"/>
        <w:rPr>
          <w:rFonts w:ascii="Arial" w:hAnsi="Arial" w:cs="Arial"/>
          <w:sz w:val="22"/>
          <w:szCs w:val="22"/>
        </w:rPr>
      </w:pPr>
      <w:r w:rsidRPr="00BD305E">
        <w:rPr>
          <w:rFonts w:ascii="Arial" w:hAnsi="Arial" w:cs="Arial"/>
          <w:sz w:val="22"/>
          <w:szCs w:val="22"/>
        </w:rPr>
        <w:t>A</w:t>
      </w:r>
      <w:r w:rsidR="000B3712" w:rsidRPr="00BD305E">
        <w:rPr>
          <w:rFonts w:ascii="Arial" w:hAnsi="Arial" w:cs="Arial"/>
          <w:sz w:val="22"/>
          <w:szCs w:val="22"/>
        </w:rPr>
        <w:t xml:space="preserve"> type of processing</w:t>
      </w:r>
      <w:r w:rsidR="00820D27" w:rsidRPr="00BD305E">
        <w:rPr>
          <w:rFonts w:ascii="Arial" w:hAnsi="Arial" w:cs="Arial"/>
          <w:sz w:val="22"/>
          <w:szCs w:val="22"/>
        </w:rPr>
        <w:t>,</w:t>
      </w:r>
      <w:r w:rsidR="000B3712" w:rsidRPr="00BD305E">
        <w:rPr>
          <w:rFonts w:ascii="Arial" w:hAnsi="Arial" w:cs="Arial"/>
          <w:sz w:val="22"/>
          <w:szCs w:val="22"/>
        </w:rPr>
        <w:t xml:space="preserve"> </w:t>
      </w:r>
      <w:r w:rsidR="00F7098E" w:rsidRPr="00BD305E">
        <w:rPr>
          <w:rFonts w:ascii="Arial" w:hAnsi="Arial" w:cs="Arial"/>
          <w:sz w:val="22"/>
          <w:szCs w:val="22"/>
        </w:rPr>
        <w:t>using</w:t>
      </w:r>
      <w:r w:rsidR="000B3712" w:rsidRPr="00BD305E">
        <w:rPr>
          <w:rFonts w:ascii="Arial" w:hAnsi="Arial" w:cs="Arial"/>
          <w:sz w:val="22"/>
          <w:szCs w:val="22"/>
        </w:rPr>
        <w:t xml:space="preserve"> new technologies, and taking into account the nature, scope, context and purposes of the processing, is likely to result in a high risk to the rights </w:t>
      </w:r>
      <w:r w:rsidR="00820D27" w:rsidRPr="00BD305E">
        <w:rPr>
          <w:rFonts w:ascii="Arial" w:hAnsi="Arial" w:cs="Arial"/>
          <w:sz w:val="22"/>
          <w:szCs w:val="22"/>
        </w:rPr>
        <w:t>and freedoms of natural persons</w:t>
      </w:r>
      <w:r w:rsidR="005536AA" w:rsidRPr="00BD305E">
        <w:rPr>
          <w:rFonts w:ascii="Arial" w:hAnsi="Arial" w:cs="Arial"/>
          <w:sz w:val="22"/>
          <w:szCs w:val="22"/>
        </w:rPr>
        <w:t>, t</w:t>
      </w:r>
      <w:r w:rsidR="000B3712" w:rsidRPr="00BD305E">
        <w:rPr>
          <w:rFonts w:ascii="Arial" w:hAnsi="Arial" w:cs="Arial"/>
          <w:sz w:val="22"/>
          <w:szCs w:val="22"/>
        </w:rPr>
        <w:t>he controller shall, prior to the processing, carry out an assessment of the impact of the envisaged processing operations on the protection of personal data. A single assessment may address a set of similar processing operations that present similar high risks</w:t>
      </w:r>
    </w:p>
    <w:p w14:paraId="224B3126" w14:textId="1806558A" w:rsidR="00042369" w:rsidRPr="00BD305E" w:rsidRDefault="00042369" w:rsidP="000B3712">
      <w:pPr>
        <w:numPr>
          <w:ilvl w:val="0"/>
          <w:numId w:val="14"/>
        </w:numPr>
        <w:spacing w:before="240" w:after="240"/>
        <w:textAlignment w:val="baseline"/>
        <w:rPr>
          <w:rFonts w:ascii="Arial" w:hAnsi="Arial" w:cs="Arial"/>
          <w:sz w:val="22"/>
          <w:szCs w:val="22"/>
        </w:rPr>
      </w:pPr>
      <w:r w:rsidRPr="00BD305E">
        <w:rPr>
          <w:rFonts w:ascii="Arial" w:hAnsi="Arial" w:cs="Arial"/>
          <w:sz w:val="22"/>
          <w:szCs w:val="22"/>
        </w:rPr>
        <w:t xml:space="preserve">Extensive processing activities </w:t>
      </w:r>
      <w:r w:rsidR="008D73AD" w:rsidRPr="00BD305E">
        <w:rPr>
          <w:rFonts w:ascii="Arial" w:hAnsi="Arial" w:cs="Arial"/>
          <w:sz w:val="22"/>
          <w:szCs w:val="22"/>
        </w:rPr>
        <w:t xml:space="preserve">are undertaken, including large </w:t>
      </w:r>
      <w:r w:rsidRPr="00BD305E">
        <w:rPr>
          <w:rFonts w:ascii="Arial" w:hAnsi="Arial" w:cs="Arial"/>
          <w:sz w:val="22"/>
          <w:szCs w:val="22"/>
        </w:rPr>
        <w:t>s</w:t>
      </w:r>
      <w:r w:rsidR="00820D27" w:rsidRPr="00BD305E">
        <w:rPr>
          <w:rFonts w:ascii="Arial" w:hAnsi="Arial" w:cs="Arial"/>
          <w:sz w:val="22"/>
          <w:szCs w:val="22"/>
        </w:rPr>
        <w:t>cale processing of personal and/</w:t>
      </w:r>
      <w:r w:rsidRPr="00BD305E">
        <w:rPr>
          <w:rFonts w:ascii="Arial" w:hAnsi="Arial" w:cs="Arial"/>
          <w:sz w:val="22"/>
          <w:szCs w:val="22"/>
        </w:rPr>
        <w:t>or special data</w:t>
      </w:r>
    </w:p>
    <w:p w14:paraId="55FBD9EC" w14:textId="2C063BD4" w:rsidR="00042369" w:rsidRPr="00BD305E" w:rsidRDefault="00042369" w:rsidP="00042369">
      <w:pPr>
        <w:spacing w:before="240" w:after="240"/>
        <w:textAlignment w:val="baseline"/>
        <w:rPr>
          <w:rFonts w:ascii="Arial" w:hAnsi="Arial" w:cs="Arial"/>
          <w:sz w:val="22"/>
          <w:szCs w:val="22"/>
        </w:rPr>
      </w:pPr>
      <w:r w:rsidRPr="00BD305E">
        <w:rPr>
          <w:rFonts w:ascii="Arial" w:hAnsi="Arial" w:cs="Arial"/>
          <w:sz w:val="22"/>
          <w:szCs w:val="22"/>
        </w:rPr>
        <w:t>DPIAs are to include the following:</w:t>
      </w:r>
    </w:p>
    <w:p w14:paraId="07C293F3" w14:textId="4EF5CED8" w:rsidR="00B2360B" w:rsidRPr="006B16BA" w:rsidRDefault="00042369" w:rsidP="00E84B5A">
      <w:pPr>
        <w:pStyle w:val="ListParagraph"/>
        <w:numPr>
          <w:ilvl w:val="0"/>
          <w:numId w:val="16"/>
        </w:numPr>
        <w:spacing w:before="240" w:after="240"/>
        <w:textAlignment w:val="baseline"/>
        <w:rPr>
          <w:rFonts w:ascii="Arial" w:hAnsi="Arial" w:cs="Arial"/>
        </w:rPr>
      </w:pPr>
      <w:r w:rsidRPr="006B16BA">
        <w:rPr>
          <w:rFonts w:ascii="Arial" w:hAnsi="Arial" w:cs="Arial"/>
        </w:rPr>
        <w:t>A description of the process</w:t>
      </w:r>
      <w:r w:rsidR="005536AA" w:rsidRPr="006B16BA">
        <w:rPr>
          <w:rFonts w:ascii="Arial" w:hAnsi="Arial" w:cs="Arial"/>
        </w:rPr>
        <w:t>ing operations</w:t>
      </w:r>
      <w:r w:rsidRPr="006B16BA">
        <w:rPr>
          <w:rFonts w:ascii="Arial" w:hAnsi="Arial" w:cs="Arial"/>
        </w:rPr>
        <w:t>, including the purpose</w:t>
      </w:r>
      <w:r w:rsidR="005536AA" w:rsidRPr="006B16BA">
        <w:rPr>
          <w:rFonts w:ascii="Arial" w:hAnsi="Arial" w:cs="Arial"/>
        </w:rPr>
        <w:t xml:space="preserve"> of processing</w:t>
      </w:r>
    </w:p>
    <w:p w14:paraId="23BE2376" w14:textId="00D913D6" w:rsidR="006C564B" w:rsidRPr="00BD305E" w:rsidRDefault="00820D27" w:rsidP="005F2BC0">
      <w:pPr>
        <w:pStyle w:val="ListParagraph"/>
        <w:numPr>
          <w:ilvl w:val="0"/>
          <w:numId w:val="16"/>
        </w:numPr>
        <w:textAlignment w:val="baseline"/>
        <w:rPr>
          <w:rFonts w:ascii="Arial" w:hAnsi="Arial" w:cs="Arial"/>
        </w:rPr>
      </w:pPr>
      <w:r w:rsidRPr="00BD305E">
        <w:rPr>
          <w:rFonts w:ascii="Arial" w:hAnsi="Arial" w:cs="Arial"/>
        </w:rPr>
        <w:t>An evaluation of the need for</w:t>
      </w:r>
      <w:r w:rsidR="00042369" w:rsidRPr="00BD305E">
        <w:rPr>
          <w:rFonts w:ascii="Arial" w:hAnsi="Arial" w:cs="Arial"/>
        </w:rPr>
        <w:t xml:space="preserve"> the processing in relation to the purpose</w:t>
      </w:r>
    </w:p>
    <w:p w14:paraId="36927235" w14:textId="22DA9B96" w:rsidR="006C564B" w:rsidRPr="00BD305E" w:rsidRDefault="00042369" w:rsidP="005F2BC0">
      <w:pPr>
        <w:pStyle w:val="ListParagraph"/>
        <w:numPr>
          <w:ilvl w:val="0"/>
          <w:numId w:val="16"/>
        </w:numPr>
        <w:textAlignment w:val="baseline"/>
        <w:rPr>
          <w:rFonts w:ascii="Arial" w:hAnsi="Arial" w:cs="Arial"/>
        </w:rPr>
      </w:pPr>
      <w:r w:rsidRPr="00BD305E">
        <w:rPr>
          <w:rFonts w:ascii="Arial" w:hAnsi="Arial" w:cs="Arial"/>
        </w:rPr>
        <w:t>An assessment of the associated risks to the data subjects</w:t>
      </w:r>
    </w:p>
    <w:p w14:paraId="7D0A706A" w14:textId="378F8EBA" w:rsidR="006C564B" w:rsidRPr="00BD305E" w:rsidRDefault="00042369" w:rsidP="005F2BC0">
      <w:pPr>
        <w:pStyle w:val="ListParagraph"/>
        <w:numPr>
          <w:ilvl w:val="0"/>
          <w:numId w:val="16"/>
        </w:numPr>
        <w:textAlignment w:val="baseline"/>
        <w:rPr>
          <w:rFonts w:ascii="Arial" w:hAnsi="Arial" w:cs="Arial"/>
        </w:rPr>
      </w:pPr>
      <w:r w:rsidRPr="00BD305E">
        <w:rPr>
          <w:rFonts w:ascii="Arial" w:hAnsi="Arial" w:cs="Arial"/>
        </w:rPr>
        <w:t>Existing measures to mitigate and control the risk(s)</w:t>
      </w:r>
    </w:p>
    <w:p w14:paraId="4437C231" w14:textId="3D17B9E5" w:rsidR="00042369" w:rsidRPr="00BD305E" w:rsidRDefault="00042369" w:rsidP="006C564B">
      <w:pPr>
        <w:pStyle w:val="ListParagraph"/>
        <w:numPr>
          <w:ilvl w:val="0"/>
          <w:numId w:val="16"/>
        </w:numPr>
        <w:textAlignment w:val="baseline"/>
        <w:rPr>
          <w:rFonts w:ascii="Arial" w:hAnsi="Arial" w:cs="Arial"/>
        </w:rPr>
      </w:pPr>
      <w:r w:rsidRPr="00BD305E">
        <w:rPr>
          <w:rFonts w:ascii="Arial" w:hAnsi="Arial" w:cs="Arial"/>
        </w:rPr>
        <w:t>Evidence of compliance in relation to risk control</w:t>
      </w:r>
    </w:p>
    <w:p w14:paraId="52436ABF" w14:textId="1DDD74F5" w:rsidR="00760025" w:rsidRPr="00BD305E" w:rsidRDefault="00760025" w:rsidP="00760025">
      <w:pPr>
        <w:spacing w:before="240" w:after="240"/>
        <w:textAlignment w:val="baseline"/>
        <w:rPr>
          <w:rFonts w:ascii="Arial" w:hAnsi="Arial" w:cs="Arial"/>
          <w:sz w:val="22"/>
          <w:szCs w:val="22"/>
        </w:rPr>
      </w:pPr>
      <w:r w:rsidRPr="00BD305E">
        <w:rPr>
          <w:rFonts w:ascii="Arial" w:hAnsi="Arial" w:cs="Arial"/>
          <w:sz w:val="22"/>
          <w:szCs w:val="22"/>
        </w:rPr>
        <w:t xml:space="preserve">It is considered best practice to undertake DPIAs for </w:t>
      </w:r>
      <w:r w:rsidR="00455E3B" w:rsidRPr="00BD305E">
        <w:rPr>
          <w:rFonts w:ascii="Arial" w:hAnsi="Arial" w:cs="Arial"/>
          <w:sz w:val="22"/>
          <w:szCs w:val="22"/>
        </w:rPr>
        <w:t>existing</w:t>
      </w:r>
      <w:r w:rsidRPr="00BD305E">
        <w:rPr>
          <w:rFonts w:ascii="Arial" w:hAnsi="Arial" w:cs="Arial"/>
          <w:sz w:val="22"/>
          <w:szCs w:val="22"/>
        </w:rPr>
        <w:t xml:space="preserve"> processing procedures to ensure</w:t>
      </w:r>
      <w:r w:rsidR="00820D27" w:rsidRPr="00BD305E">
        <w:rPr>
          <w:rFonts w:ascii="Arial" w:hAnsi="Arial" w:cs="Arial"/>
          <w:sz w:val="22"/>
          <w:szCs w:val="22"/>
        </w:rPr>
        <w:t xml:space="preserve"> that</w:t>
      </w:r>
      <w:r w:rsidRPr="00BD305E">
        <w:rPr>
          <w:rFonts w:ascii="Arial" w:hAnsi="Arial" w:cs="Arial"/>
          <w:sz w:val="22"/>
          <w:szCs w:val="22"/>
        </w:rPr>
        <w:t xml:space="preserve"> </w:t>
      </w:r>
      <w:r w:rsidR="00F7098E">
        <w:rPr>
          <w:rFonts w:ascii="Arial" w:hAnsi="Arial" w:cs="Arial"/>
          <w:sz w:val="22"/>
          <w:szCs w:val="22"/>
        </w:rPr>
        <w:t>this organisation</w:t>
      </w:r>
      <w:r w:rsidRPr="00BD305E">
        <w:rPr>
          <w:rFonts w:ascii="Arial" w:hAnsi="Arial" w:cs="Arial"/>
          <w:sz w:val="22"/>
          <w:szCs w:val="22"/>
        </w:rPr>
        <w:t xml:space="preserve"> meets it</w:t>
      </w:r>
      <w:r w:rsidR="00820D27" w:rsidRPr="00BD305E">
        <w:rPr>
          <w:rFonts w:ascii="Arial" w:hAnsi="Arial" w:cs="Arial"/>
          <w:sz w:val="22"/>
          <w:szCs w:val="22"/>
        </w:rPr>
        <w:t>s data protection obligations. DPIAs</w:t>
      </w:r>
      <w:r w:rsidR="007A445A" w:rsidRPr="00BD305E">
        <w:rPr>
          <w:rFonts w:ascii="Arial" w:hAnsi="Arial" w:cs="Arial"/>
          <w:sz w:val="22"/>
          <w:szCs w:val="22"/>
        </w:rPr>
        <w:t xml:space="preserve"> are classed as </w:t>
      </w:r>
      <w:r w:rsidR="00820D27" w:rsidRPr="00BD305E">
        <w:rPr>
          <w:rFonts w:ascii="Arial" w:hAnsi="Arial" w:cs="Arial"/>
          <w:sz w:val="22"/>
          <w:szCs w:val="22"/>
        </w:rPr>
        <w:t>“live document</w:t>
      </w:r>
      <w:r w:rsidR="007A445A" w:rsidRPr="00BD305E">
        <w:rPr>
          <w:rFonts w:ascii="Arial" w:hAnsi="Arial" w:cs="Arial"/>
          <w:sz w:val="22"/>
          <w:szCs w:val="22"/>
        </w:rPr>
        <w:t>s</w:t>
      </w:r>
      <w:r w:rsidR="00820D27" w:rsidRPr="00BD305E">
        <w:rPr>
          <w:rFonts w:ascii="Arial" w:hAnsi="Arial" w:cs="Arial"/>
          <w:sz w:val="22"/>
          <w:szCs w:val="22"/>
        </w:rPr>
        <w:t>”</w:t>
      </w:r>
      <w:r w:rsidRPr="00BD305E">
        <w:rPr>
          <w:rFonts w:ascii="Arial" w:hAnsi="Arial" w:cs="Arial"/>
          <w:sz w:val="22"/>
          <w:szCs w:val="22"/>
        </w:rPr>
        <w:t xml:space="preserve"> and processes should be reviewed continually.</w:t>
      </w:r>
      <w:r w:rsidR="007A445A" w:rsidRPr="00BD305E">
        <w:rPr>
          <w:rFonts w:ascii="Arial" w:hAnsi="Arial" w:cs="Arial"/>
          <w:sz w:val="22"/>
          <w:szCs w:val="22"/>
        </w:rPr>
        <w:t xml:space="preserve"> </w:t>
      </w:r>
      <w:r w:rsidR="00377FB9" w:rsidRPr="00BD305E">
        <w:rPr>
          <w:rFonts w:ascii="Arial" w:hAnsi="Arial" w:cs="Arial"/>
          <w:sz w:val="22"/>
          <w:szCs w:val="22"/>
        </w:rPr>
        <w:t>As a minimum, a DPIA should be reviewed every three years or whenever there is a change in a proc</w:t>
      </w:r>
      <w:r w:rsidR="007A445A" w:rsidRPr="00BD305E">
        <w:rPr>
          <w:rFonts w:ascii="Arial" w:hAnsi="Arial" w:cs="Arial"/>
          <w:sz w:val="22"/>
          <w:szCs w:val="22"/>
        </w:rPr>
        <w:t xml:space="preserve">ess that </w:t>
      </w:r>
      <w:r w:rsidR="00377FB9" w:rsidRPr="00BD305E">
        <w:rPr>
          <w:rFonts w:ascii="Arial" w:hAnsi="Arial" w:cs="Arial"/>
          <w:sz w:val="22"/>
          <w:szCs w:val="22"/>
        </w:rPr>
        <w:t xml:space="preserve">involves personal data.  </w:t>
      </w:r>
      <w:r w:rsidRPr="00BD305E">
        <w:rPr>
          <w:rFonts w:ascii="Arial" w:hAnsi="Arial" w:cs="Arial"/>
          <w:sz w:val="22"/>
          <w:szCs w:val="22"/>
        </w:rPr>
        <w:t xml:space="preserve">  </w:t>
      </w:r>
    </w:p>
    <w:p w14:paraId="3B24FAA5" w14:textId="6EFFD6E0" w:rsidR="00455E3B" w:rsidRPr="00BD305E" w:rsidRDefault="00455E3B" w:rsidP="00455E3B">
      <w:pPr>
        <w:pStyle w:val="Heading2"/>
        <w:rPr>
          <w:rFonts w:ascii="Arial" w:hAnsi="Arial" w:cs="Arial"/>
          <w:smallCaps w:val="0"/>
          <w:sz w:val="24"/>
          <w:szCs w:val="24"/>
          <w:lang w:val="en-GB"/>
        </w:rPr>
      </w:pPr>
      <w:bookmarkStart w:id="119" w:name="_Toc43131945"/>
      <w:bookmarkStart w:id="120" w:name="_Toc160544120"/>
      <w:r w:rsidRPr="00BD305E">
        <w:rPr>
          <w:rFonts w:ascii="Arial" w:hAnsi="Arial" w:cs="Arial"/>
          <w:smallCaps w:val="0"/>
          <w:sz w:val="24"/>
          <w:szCs w:val="24"/>
          <w:lang w:val="en-GB"/>
        </w:rPr>
        <w:lastRenderedPageBreak/>
        <w:t>D</w:t>
      </w:r>
      <w:r w:rsidR="008D73AD" w:rsidRPr="00BD305E">
        <w:rPr>
          <w:rFonts w:ascii="Arial" w:hAnsi="Arial" w:cs="Arial"/>
          <w:smallCaps w:val="0"/>
          <w:sz w:val="24"/>
          <w:szCs w:val="24"/>
          <w:lang w:val="en-GB"/>
        </w:rPr>
        <w:t xml:space="preserve">ata </w:t>
      </w:r>
      <w:r w:rsidRPr="00BD305E">
        <w:rPr>
          <w:rFonts w:ascii="Arial" w:hAnsi="Arial" w:cs="Arial"/>
          <w:smallCaps w:val="0"/>
          <w:sz w:val="24"/>
          <w:szCs w:val="24"/>
          <w:lang w:val="en-GB"/>
        </w:rPr>
        <w:t>P</w:t>
      </w:r>
      <w:r w:rsidR="008D73AD" w:rsidRPr="00BD305E">
        <w:rPr>
          <w:rFonts w:ascii="Arial" w:hAnsi="Arial" w:cs="Arial"/>
          <w:smallCaps w:val="0"/>
          <w:sz w:val="24"/>
          <w:szCs w:val="24"/>
          <w:lang w:val="en-GB"/>
        </w:rPr>
        <w:t xml:space="preserve">rotection </w:t>
      </w:r>
      <w:r w:rsidRPr="00BD305E">
        <w:rPr>
          <w:rFonts w:ascii="Arial" w:hAnsi="Arial" w:cs="Arial"/>
          <w:smallCaps w:val="0"/>
          <w:sz w:val="24"/>
          <w:szCs w:val="24"/>
          <w:lang w:val="en-GB"/>
        </w:rPr>
        <w:t>I</w:t>
      </w:r>
      <w:r w:rsidR="008D73AD" w:rsidRPr="00BD305E">
        <w:rPr>
          <w:rFonts w:ascii="Arial" w:hAnsi="Arial" w:cs="Arial"/>
          <w:smallCaps w:val="0"/>
          <w:sz w:val="24"/>
          <w:szCs w:val="24"/>
          <w:lang w:val="en-GB"/>
        </w:rPr>
        <w:t xml:space="preserve">mpact </w:t>
      </w:r>
      <w:r w:rsidRPr="00BD305E">
        <w:rPr>
          <w:rFonts w:ascii="Arial" w:hAnsi="Arial" w:cs="Arial"/>
          <w:smallCaps w:val="0"/>
          <w:sz w:val="24"/>
          <w:szCs w:val="24"/>
          <w:lang w:val="en-GB"/>
        </w:rPr>
        <w:t>A</w:t>
      </w:r>
      <w:r w:rsidR="008D73AD" w:rsidRPr="00BD305E">
        <w:rPr>
          <w:rFonts w:ascii="Arial" w:hAnsi="Arial" w:cs="Arial"/>
          <w:smallCaps w:val="0"/>
          <w:sz w:val="24"/>
          <w:szCs w:val="24"/>
          <w:lang w:val="en-GB"/>
        </w:rPr>
        <w:t>ssessment</w:t>
      </w:r>
      <w:r w:rsidRPr="00BD305E">
        <w:rPr>
          <w:rFonts w:ascii="Arial" w:hAnsi="Arial" w:cs="Arial"/>
          <w:smallCaps w:val="0"/>
          <w:sz w:val="24"/>
          <w:szCs w:val="24"/>
          <w:lang w:val="en-GB"/>
        </w:rPr>
        <w:t xml:space="preserve"> process</w:t>
      </w:r>
      <w:bookmarkEnd w:id="119"/>
      <w:bookmarkEnd w:id="120"/>
    </w:p>
    <w:p w14:paraId="14313FD1" w14:textId="4069F165" w:rsidR="00455E3B" w:rsidRPr="00BD305E" w:rsidRDefault="00455E3B" w:rsidP="00455E3B">
      <w:pPr>
        <w:rPr>
          <w:lang w:eastAsia="en-US"/>
        </w:rPr>
      </w:pPr>
    </w:p>
    <w:p w14:paraId="3B5E7992" w14:textId="72580621" w:rsidR="00455E3B" w:rsidRPr="00BD305E" w:rsidRDefault="00455E3B" w:rsidP="00455E3B">
      <w:pPr>
        <w:rPr>
          <w:rFonts w:ascii="Arial" w:hAnsi="Arial" w:cs="Arial"/>
          <w:sz w:val="22"/>
          <w:szCs w:val="22"/>
          <w:lang w:eastAsia="en-US"/>
        </w:rPr>
      </w:pPr>
      <w:r w:rsidRPr="00BD305E">
        <w:rPr>
          <w:rFonts w:ascii="Arial" w:hAnsi="Arial" w:cs="Arial"/>
          <w:sz w:val="22"/>
          <w:szCs w:val="22"/>
          <w:lang w:eastAsia="en-US"/>
        </w:rPr>
        <w:t xml:space="preserve">The DPIA process is </w:t>
      </w:r>
      <w:r w:rsidR="005536AA" w:rsidRPr="00BD305E">
        <w:rPr>
          <w:rFonts w:ascii="Arial" w:hAnsi="Arial" w:cs="Arial"/>
          <w:sz w:val="22"/>
          <w:szCs w:val="22"/>
          <w:lang w:eastAsia="en-US"/>
        </w:rPr>
        <w:t>illustrated in diagrammatic form below:</w:t>
      </w:r>
    </w:p>
    <w:p w14:paraId="61764EEF" w14:textId="12BF0889" w:rsidR="00455E3B" w:rsidRPr="00BD305E" w:rsidRDefault="00455E3B" w:rsidP="00455E3B">
      <w:pPr>
        <w:rPr>
          <w:rFonts w:ascii="Arial" w:hAnsi="Arial" w:cs="Arial"/>
          <w:sz w:val="22"/>
          <w:szCs w:val="22"/>
          <w:lang w:eastAsia="en-US"/>
        </w:rPr>
      </w:pPr>
    </w:p>
    <w:p w14:paraId="5DABA51D" w14:textId="37E1E292" w:rsidR="005536AA" w:rsidRPr="00BD305E" w:rsidRDefault="005536AA" w:rsidP="00C72915">
      <w:pPr>
        <w:jc w:val="center"/>
        <w:rPr>
          <w:rFonts w:ascii="Arial" w:hAnsi="Arial" w:cs="Arial"/>
        </w:rPr>
      </w:pPr>
      <w:r w:rsidRPr="00BD305E">
        <w:rPr>
          <w:rFonts w:ascii="Arial" w:hAnsi="Arial" w:cs="Arial"/>
          <w:noProof/>
        </w:rPr>
        <w:drawing>
          <wp:inline distT="0" distB="0" distL="0" distR="0" wp14:anchorId="0CCF8FAA" wp14:editId="2BE9F1A3">
            <wp:extent cx="4137528" cy="3609121"/>
            <wp:effectExtent l="0" t="0" r="0" b="0"/>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58"/>
                    <a:stretch>
                      <a:fillRect/>
                    </a:stretch>
                  </pic:blipFill>
                  <pic:spPr>
                    <a:xfrm>
                      <a:off x="0" y="0"/>
                      <a:ext cx="4173791" cy="3640753"/>
                    </a:xfrm>
                    <a:prstGeom prst="rect">
                      <a:avLst/>
                    </a:prstGeom>
                  </pic:spPr>
                </pic:pic>
              </a:graphicData>
            </a:graphic>
          </wp:inline>
        </w:drawing>
      </w:r>
    </w:p>
    <w:p w14:paraId="59E6EF9A" w14:textId="77777777" w:rsidR="00814AFD" w:rsidRPr="00BD305E" w:rsidRDefault="00814AFD" w:rsidP="005536AA">
      <w:pPr>
        <w:rPr>
          <w:rFonts w:ascii="Arial" w:hAnsi="Arial" w:cs="Arial"/>
          <w:sz w:val="20"/>
          <w:szCs w:val="20"/>
        </w:rPr>
      </w:pPr>
    </w:p>
    <w:p w14:paraId="24D522DA" w14:textId="1963549F" w:rsidR="002957F7" w:rsidRDefault="005536AA" w:rsidP="005536AA">
      <w:pPr>
        <w:rPr>
          <w:rFonts w:ascii="Arial" w:hAnsi="Arial" w:cs="Arial"/>
          <w:sz w:val="20"/>
          <w:szCs w:val="20"/>
        </w:rPr>
      </w:pPr>
      <w:r w:rsidRPr="00BD305E">
        <w:rPr>
          <w:rFonts w:ascii="Arial" w:hAnsi="Arial" w:cs="Arial"/>
          <w:sz w:val="20"/>
          <w:szCs w:val="20"/>
        </w:rPr>
        <w:t xml:space="preserve">Image source: ico.org.uk </w:t>
      </w:r>
    </w:p>
    <w:p w14:paraId="6D0AF261" w14:textId="77777777" w:rsidR="00305A7B" w:rsidRDefault="00305A7B" w:rsidP="005536AA">
      <w:pPr>
        <w:rPr>
          <w:rFonts w:ascii="Arial" w:hAnsi="Arial" w:cs="Arial"/>
          <w:sz w:val="20"/>
          <w:szCs w:val="20"/>
        </w:rPr>
      </w:pPr>
    </w:p>
    <w:p w14:paraId="79D69E1E" w14:textId="091FFDCE" w:rsidR="00305A7B" w:rsidRPr="00BD305E" w:rsidRDefault="00305A7B" w:rsidP="00305A7B">
      <w:pPr>
        <w:pStyle w:val="Heading2"/>
        <w:rPr>
          <w:rFonts w:ascii="Arial" w:hAnsi="Arial" w:cs="Arial"/>
          <w:smallCaps w:val="0"/>
          <w:sz w:val="24"/>
          <w:szCs w:val="24"/>
          <w:lang w:val="en-GB"/>
        </w:rPr>
      </w:pPr>
      <w:bookmarkStart w:id="121" w:name="_Toc160544121"/>
      <w:r w:rsidRPr="00BD305E">
        <w:rPr>
          <w:rFonts w:ascii="Arial" w:hAnsi="Arial" w:cs="Arial"/>
          <w:smallCaps w:val="0"/>
          <w:sz w:val="24"/>
          <w:szCs w:val="24"/>
          <w:lang w:val="en-GB"/>
        </w:rPr>
        <w:t xml:space="preserve">Data Protection Impact Assessment </w:t>
      </w:r>
      <w:r>
        <w:rPr>
          <w:rFonts w:ascii="Arial" w:hAnsi="Arial" w:cs="Arial"/>
          <w:smallCaps w:val="0"/>
          <w:sz w:val="24"/>
          <w:szCs w:val="24"/>
          <w:lang w:val="en-GB"/>
        </w:rPr>
        <w:t>template</w:t>
      </w:r>
      <w:bookmarkEnd w:id="121"/>
    </w:p>
    <w:p w14:paraId="397CCC73" w14:textId="77777777" w:rsidR="00305A7B" w:rsidRPr="00BD305E" w:rsidRDefault="00305A7B" w:rsidP="00305A7B">
      <w:pPr>
        <w:rPr>
          <w:lang w:eastAsia="en-US"/>
        </w:rPr>
      </w:pPr>
    </w:p>
    <w:p w14:paraId="03BC32D2" w14:textId="470D1CD8" w:rsidR="00305A7B" w:rsidRPr="00BD305E" w:rsidRDefault="00305A7B" w:rsidP="00305A7B">
      <w:pPr>
        <w:rPr>
          <w:rFonts w:ascii="Arial" w:hAnsi="Arial" w:cs="Arial"/>
          <w:sz w:val="22"/>
          <w:szCs w:val="22"/>
          <w:lang w:eastAsia="en-US"/>
        </w:rPr>
      </w:pPr>
      <w:r w:rsidRPr="00BD305E">
        <w:rPr>
          <w:rFonts w:ascii="Arial" w:hAnsi="Arial" w:cs="Arial"/>
          <w:sz w:val="22"/>
          <w:szCs w:val="22"/>
          <w:lang w:eastAsia="en-US"/>
        </w:rPr>
        <w:t>Th</w:t>
      </w:r>
      <w:r>
        <w:rPr>
          <w:rFonts w:ascii="Arial" w:hAnsi="Arial" w:cs="Arial"/>
          <w:sz w:val="22"/>
          <w:szCs w:val="22"/>
          <w:lang w:eastAsia="en-US"/>
        </w:rPr>
        <w:t xml:space="preserve">is organisation will use </w:t>
      </w:r>
      <w:hyperlink r:id="rId59" w:history="1">
        <w:r w:rsidRPr="00305A7B">
          <w:rPr>
            <w:rStyle w:val="Hyperlink"/>
            <w:rFonts w:ascii="Arial" w:hAnsi="Arial" w:cs="Arial"/>
            <w:sz w:val="22"/>
            <w:szCs w:val="22"/>
            <w:lang w:eastAsia="en-US"/>
          </w:rPr>
          <w:t>NHS England’s universal information governance template</w:t>
        </w:r>
      </w:hyperlink>
      <w:r w:rsidRPr="00BD305E">
        <w:rPr>
          <w:rFonts w:ascii="Arial" w:hAnsi="Arial" w:cs="Arial"/>
          <w:sz w:val="22"/>
          <w:szCs w:val="22"/>
          <w:lang w:eastAsia="en-US"/>
        </w:rPr>
        <w:t xml:space="preserve"> </w:t>
      </w:r>
      <w:r>
        <w:rPr>
          <w:rFonts w:ascii="Arial" w:hAnsi="Arial" w:cs="Arial"/>
          <w:sz w:val="22"/>
          <w:szCs w:val="22"/>
          <w:lang w:eastAsia="en-US"/>
        </w:rPr>
        <w:t xml:space="preserve">to conduct a DPIA. </w:t>
      </w:r>
    </w:p>
    <w:p w14:paraId="7C87E75D" w14:textId="77777777" w:rsidR="002957F7" w:rsidRPr="00BD305E" w:rsidRDefault="002957F7" w:rsidP="005536AA">
      <w:pPr>
        <w:rPr>
          <w:rFonts w:ascii="Arial" w:hAnsi="Arial" w:cs="Arial"/>
          <w:sz w:val="20"/>
          <w:szCs w:val="20"/>
        </w:rPr>
      </w:pPr>
    </w:p>
    <w:p w14:paraId="782C3F4B" w14:textId="372A4C1E" w:rsidR="002957F7" w:rsidRPr="00BD305E" w:rsidRDefault="002957F7" w:rsidP="002957F7">
      <w:pPr>
        <w:pStyle w:val="Heading1"/>
        <w:keepLines/>
        <w:pBdr>
          <w:bottom w:val="single" w:sz="4" w:space="1" w:color="595959" w:themeColor="text1" w:themeTint="A6"/>
        </w:pBdr>
        <w:spacing w:after="160" w:line="259" w:lineRule="auto"/>
        <w:ind w:left="431" w:hanging="431"/>
        <w:rPr>
          <w:sz w:val="28"/>
          <w:szCs w:val="28"/>
        </w:rPr>
      </w:pPr>
      <w:bookmarkStart w:id="122" w:name="_Toc160544122"/>
      <w:r w:rsidRPr="00BD305E">
        <w:rPr>
          <w:sz w:val="28"/>
          <w:szCs w:val="28"/>
        </w:rPr>
        <w:t>Information asset register</w:t>
      </w:r>
      <w:bookmarkEnd w:id="122"/>
    </w:p>
    <w:p w14:paraId="30B5FAB2" w14:textId="77777777" w:rsidR="002957F7" w:rsidRPr="00BD305E" w:rsidRDefault="002957F7" w:rsidP="00455E3B"/>
    <w:p w14:paraId="7CB0DE41" w14:textId="5D186548" w:rsidR="00FF5521" w:rsidRDefault="00FF5521" w:rsidP="00F91A74">
      <w:pPr>
        <w:rPr>
          <w:rFonts w:ascii="Arial" w:hAnsi="Arial" w:cs="Arial"/>
          <w:sz w:val="22"/>
          <w:szCs w:val="22"/>
        </w:rPr>
      </w:pPr>
      <w:r>
        <w:rPr>
          <w:rFonts w:ascii="Arial" w:hAnsi="Arial" w:cs="Arial"/>
          <w:sz w:val="22"/>
          <w:szCs w:val="22"/>
        </w:rPr>
        <w:t xml:space="preserve">The </w:t>
      </w:r>
      <w:hyperlink r:id="rId60" w:anchor="Register" w:history="1">
        <w:r w:rsidRPr="00FF5521">
          <w:rPr>
            <w:rStyle w:val="Hyperlink"/>
            <w:rFonts w:ascii="Arial" w:hAnsi="Arial" w:cs="Arial"/>
            <w:sz w:val="22"/>
            <w:szCs w:val="22"/>
          </w:rPr>
          <w:t>ICO</w:t>
        </w:r>
      </w:hyperlink>
      <w:r>
        <w:rPr>
          <w:rFonts w:ascii="Arial" w:hAnsi="Arial" w:cs="Arial"/>
          <w:sz w:val="22"/>
          <w:szCs w:val="22"/>
        </w:rPr>
        <w:t xml:space="preserve"> advise</w:t>
      </w:r>
      <w:r w:rsidR="006B16BA">
        <w:rPr>
          <w:rFonts w:ascii="Arial" w:hAnsi="Arial" w:cs="Arial"/>
          <w:sz w:val="22"/>
          <w:szCs w:val="22"/>
        </w:rPr>
        <w:t>s</w:t>
      </w:r>
      <w:r>
        <w:rPr>
          <w:rFonts w:ascii="Arial" w:hAnsi="Arial" w:cs="Arial"/>
          <w:sz w:val="22"/>
          <w:szCs w:val="22"/>
        </w:rPr>
        <w:t xml:space="preserve"> that an</w:t>
      </w:r>
      <w:r w:rsidR="00F91A74" w:rsidRPr="00BD305E">
        <w:rPr>
          <w:rFonts w:ascii="Arial" w:hAnsi="Arial" w:cs="Arial"/>
          <w:sz w:val="22"/>
          <w:szCs w:val="22"/>
        </w:rPr>
        <w:t xml:space="preserve"> information asset </w:t>
      </w:r>
      <w:r w:rsidR="002045B0" w:rsidRPr="00BD305E">
        <w:rPr>
          <w:rFonts w:ascii="Arial" w:hAnsi="Arial" w:cs="Arial"/>
          <w:sz w:val="22"/>
          <w:szCs w:val="22"/>
        </w:rPr>
        <w:t xml:space="preserve">register </w:t>
      </w:r>
      <w:r w:rsidR="00CD2EBD" w:rsidRPr="00BD305E">
        <w:rPr>
          <w:rFonts w:ascii="Arial" w:hAnsi="Arial" w:cs="Arial"/>
          <w:sz w:val="22"/>
          <w:szCs w:val="22"/>
        </w:rPr>
        <w:t>(IAR)</w:t>
      </w:r>
      <w:r>
        <w:rPr>
          <w:rFonts w:ascii="Arial" w:hAnsi="Arial" w:cs="Arial"/>
          <w:sz w:val="22"/>
          <w:szCs w:val="22"/>
        </w:rPr>
        <w:t xml:space="preserve"> records assets, systems and applications that are used for processing or storing personal data across this organisation. The IAR is to be kept up to date, detailing all information assets (software and hardware), including:</w:t>
      </w:r>
    </w:p>
    <w:p w14:paraId="1DD2F536" w14:textId="77777777" w:rsidR="00FF5521" w:rsidRDefault="00FF5521" w:rsidP="00F91A74">
      <w:pPr>
        <w:rPr>
          <w:rFonts w:ascii="Arial" w:hAnsi="Arial" w:cs="Arial"/>
          <w:sz w:val="22"/>
          <w:szCs w:val="22"/>
        </w:rPr>
      </w:pPr>
    </w:p>
    <w:p w14:paraId="7F6590B1" w14:textId="2D941C77" w:rsidR="00FF5521" w:rsidRDefault="00FF5521" w:rsidP="00FF5521">
      <w:pPr>
        <w:pStyle w:val="ListParagraph"/>
        <w:numPr>
          <w:ilvl w:val="0"/>
          <w:numId w:val="44"/>
        </w:numPr>
        <w:rPr>
          <w:rFonts w:ascii="Arial" w:hAnsi="Arial" w:cs="Arial"/>
        </w:rPr>
      </w:pPr>
      <w:r>
        <w:rPr>
          <w:rFonts w:ascii="Arial" w:hAnsi="Arial" w:cs="Arial"/>
        </w:rPr>
        <w:t>Asset owners</w:t>
      </w:r>
    </w:p>
    <w:p w14:paraId="074DA86D" w14:textId="615CA7FE" w:rsidR="00FF5521" w:rsidRDefault="00FF5521" w:rsidP="00FF5521">
      <w:pPr>
        <w:pStyle w:val="ListParagraph"/>
        <w:numPr>
          <w:ilvl w:val="0"/>
          <w:numId w:val="44"/>
        </w:numPr>
        <w:rPr>
          <w:rFonts w:ascii="Arial" w:hAnsi="Arial" w:cs="Arial"/>
        </w:rPr>
      </w:pPr>
      <w:r>
        <w:rPr>
          <w:rFonts w:ascii="Arial" w:hAnsi="Arial" w:cs="Arial"/>
        </w:rPr>
        <w:t>Asset location</w:t>
      </w:r>
    </w:p>
    <w:p w14:paraId="7F44B4F6" w14:textId="1AFC4CB2" w:rsidR="00FF5521" w:rsidRDefault="00FF5521" w:rsidP="00FF5521">
      <w:pPr>
        <w:pStyle w:val="ListParagraph"/>
        <w:numPr>
          <w:ilvl w:val="0"/>
          <w:numId w:val="44"/>
        </w:numPr>
        <w:rPr>
          <w:rFonts w:ascii="Arial" w:hAnsi="Arial" w:cs="Arial"/>
        </w:rPr>
      </w:pPr>
      <w:r>
        <w:rPr>
          <w:rFonts w:ascii="Arial" w:hAnsi="Arial" w:cs="Arial"/>
        </w:rPr>
        <w:t>Retention periods</w:t>
      </w:r>
    </w:p>
    <w:p w14:paraId="20D4DF3E" w14:textId="5AFBD391" w:rsidR="00FF5521" w:rsidRDefault="00FF5521" w:rsidP="00FF5521">
      <w:pPr>
        <w:pStyle w:val="ListParagraph"/>
        <w:numPr>
          <w:ilvl w:val="0"/>
          <w:numId w:val="44"/>
        </w:numPr>
        <w:rPr>
          <w:rFonts w:ascii="Arial" w:hAnsi="Arial" w:cs="Arial"/>
        </w:rPr>
      </w:pPr>
      <w:r>
        <w:rPr>
          <w:rFonts w:ascii="Arial" w:hAnsi="Arial" w:cs="Arial"/>
        </w:rPr>
        <w:lastRenderedPageBreak/>
        <w:t>Existing security measures</w:t>
      </w:r>
    </w:p>
    <w:p w14:paraId="632D45D6" w14:textId="77777777" w:rsidR="00FF5521" w:rsidRDefault="00FF5521" w:rsidP="00FF5521">
      <w:pPr>
        <w:rPr>
          <w:rFonts w:ascii="Arial" w:hAnsi="Arial" w:cs="Arial"/>
        </w:rPr>
      </w:pPr>
    </w:p>
    <w:p w14:paraId="72AFF037" w14:textId="0B1358E1" w:rsidR="00FF5521" w:rsidRPr="00FF5521" w:rsidRDefault="00FF5521" w:rsidP="00FF5521">
      <w:pPr>
        <w:rPr>
          <w:rFonts w:ascii="Arial" w:hAnsi="Arial" w:cs="Arial"/>
          <w:sz w:val="22"/>
          <w:szCs w:val="22"/>
        </w:rPr>
      </w:pPr>
      <w:r w:rsidRPr="00FF5521">
        <w:rPr>
          <w:rFonts w:ascii="Arial" w:hAnsi="Arial" w:cs="Arial"/>
          <w:sz w:val="22"/>
          <w:szCs w:val="22"/>
        </w:rPr>
        <w:t>The register is to be reviewed regularly to ensure it remains extant</w:t>
      </w:r>
      <w:r>
        <w:rPr>
          <w:rFonts w:ascii="Arial" w:hAnsi="Arial" w:cs="Arial"/>
          <w:sz w:val="22"/>
          <w:szCs w:val="22"/>
        </w:rPr>
        <w:t>, and best practice is to risk-assess assets within the register, conducting physical checks to make certain the hardware asset inventory remains accurate.</w:t>
      </w:r>
    </w:p>
    <w:p w14:paraId="6ECE1FD8" w14:textId="77777777" w:rsidR="00FF5521" w:rsidRDefault="00FF5521" w:rsidP="00F91A74">
      <w:pPr>
        <w:rPr>
          <w:rFonts w:ascii="Arial" w:hAnsi="Arial" w:cs="Arial"/>
          <w:sz w:val="22"/>
          <w:szCs w:val="22"/>
        </w:rPr>
      </w:pPr>
    </w:p>
    <w:p w14:paraId="0B966037" w14:textId="5ACADC56" w:rsidR="00B2360B" w:rsidRPr="00BD305E" w:rsidRDefault="00FF5521" w:rsidP="00C72076">
      <w:pPr>
        <w:rPr>
          <w:rFonts w:ascii="Arial" w:hAnsi="Arial" w:cs="Arial"/>
          <w:b/>
          <w:color w:val="0070C0"/>
          <w:sz w:val="28"/>
        </w:rPr>
        <w:sectPr w:rsidR="00B2360B" w:rsidRPr="00BD305E" w:rsidSect="00B31B15">
          <w:headerReference w:type="even" r:id="rId61"/>
          <w:headerReference w:type="default" r:id="rId62"/>
          <w:footerReference w:type="even" r:id="rId63"/>
          <w:footerReference w:type="default" r:id="rId64"/>
          <w:headerReference w:type="first" r:id="rId65"/>
          <w:footerReference w:type="first" r:id="rId66"/>
          <w:type w:val="continuous"/>
          <w:pgSz w:w="11900" w:h="16820"/>
          <w:pgMar w:top="1440" w:right="1797" w:bottom="1440" w:left="1797" w:header="709" w:footer="709" w:gutter="0"/>
          <w:cols w:space="708"/>
          <w:docGrid w:linePitch="360"/>
        </w:sectPr>
      </w:pPr>
      <w:r>
        <w:rPr>
          <w:rFonts w:ascii="Arial" w:hAnsi="Arial" w:cs="Arial"/>
          <w:sz w:val="22"/>
          <w:szCs w:val="22"/>
        </w:rPr>
        <w:t xml:space="preserve">This organisation will use the </w:t>
      </w:r>
      <w:hyperlink r:id="rId67" w:history="1">
        <w:r w:rsidR="00442A07" w:rsidRPr="00BD305E">
          <w:rPr>
            <w:rStyle w:val="Hyperlink"/>
            <w:rFonts w:ascii="Arial" w:hAnsi="Arial" w:cs="Arial"/>
            <w:sz w:val="22"/>
            <w:szCs w:val="22"/>
          </w:rPr>
          <w:t>Information Asset Register</w:t>
        </w:r>
      </w:hyperlink>
      <w:r>
        <w:rPr>
          <w:rFonts w:ascii="Arial" w:hAnsi="Arial" w:cs="Arial"/>
          <w:color w:val="000000" w:themeColor="text1"/>
          <w:sz w:val="22"/>
          <w:szCs w:val="22"/>
        </w:rPr>
        <w:t xml:space="preserve"> templa</w:t>
      </w:r>
      <w:bookmarkStart w:id="123" w:name="_Annex_B_–"/>
      <w:bookmarkStart w:id="124" w:name="_Toc43131948"/>
      <w:bookmarkEnd w:id="123"/>
      <w:r w:rsidR="00305A7B">
        <w:rPr>
          <w:rFonts w:ascii="Arial" w:hAnsi="Arial" w:cs="Arial"/>
          <w:color w:val="000000" w:themeColor="text1"/>
          <w:sz w:val="22"/>
          <w:szCs w:val="22"/>
        </w:rPr>
        <w:t>te</w:t>
      </w:r>
      <w:r w:rsidR="008A582C">
        <w:rPr>
          <w:rFonts w:ascii="Arial" w:hAnsi="Arial" w:cs="Arial"/>
          <w:color w:val="000000" w:themeColor="text1"/>
          <w:sz w:val="22"/>
          <w:szCs w:val="22"/>
        </w:rPr>
        <w:t>.</w:t>
      </w:r>
      <w:bookmarkStart w:id="125" w:name="_Toc357591848"/>
      <w:bookmarkStart w:id="126" w:name="_Toc359915455"/>
      <w:bookmarkEnd w:id="124"/>
    </w:p>
    <w:p w14:paraId="20E3DA72" w14:textId="56241F78" w:rsidR="002A7D6C" w:rsidRPr="00BD305E" w:rsidRDefault="002A7D6C" w:rsidP="002A7D6C">
      <w:pPr>
        <w:pStyle w:val="Heading1"/>
        <w:keepLines/>
        <w:numPr>
          <w:ilvl w:val="0"/>
          <w:numId w:val="0"/>
        </w:numPr>
        <w:pBdr>
          <w:bottom w:val="single" w:sz="4" w:space="1" w:color="595959" w:themeColor="text1" w:themeTint="A6"/>
        </w:pBdr>
        <w:spacing w:before="360" w:after="160" w:line="259" w:lineRule="auto"/>
        <w:rPr>
          <w:sz w:val="28"/>
          <w:szCs w:val="28"/>
        </w:rPr>
      </w:pPr>
      <w:bookmarkStart w:id="127" w:name="_Annex_A_–"/>
      <w:bookmarkStart w:id="128" w:name="_Toc160544123"/>
      <w:bookmarkStart w:id="129" w:name="_Hlk100589091"/>
      <w:bookmarkEnd w:id="125"/>
      <w:bookmarkEnd w:id="126"/>
      <w:bookmarkEnd w:id="127"/>
      <w:r w:rsidRPr="00BD305E">
        <w:rPr>
          <w:sz w:val="28"/>
          <w:szCs w:val="28"/>
        </w:rPr>
        <w:lastRenderedPageBreak/>
        <w:t xml:space="preserve">Annex </w:t>
      </w:r>
      <w:r w:rsidR="008A582C">
        <w:rPr>
          <w:sz w:val="28"/>
          <w:szCs w:val="28"/>
        </w:rPr>
        <w:t>A</w:t>
      </w:r>
      <w:r w:rsidRPr="00BD305E">
        <w:rPr>
          <w:sz w:val="28"/>
          <w:szCs w:val="28"/>
        </w:rPr>
        <w:t xml:space="preserve"> – UK GDPR checklist</w:t>
      </w:r>
      <w:bookmarkEnd w:id="128"/>
    </w:p>
    <w:p w14:paraId="5A6E46A7" w14:textId="183D435C" w:rsidR="00003771" w:rsidRPr="00BD305E" w:rsidRDefault="00003771" w:rsidP="00003771">
      <w:pPr>
        <w:rPr>
          <w:rFonts w:ascii="Arial" w:hAnsi="Arial" w:cs="Arial"/>
          <w:sz w:val="22"/>
          <w:szCs w:val="22"/>
          <w:lang w:eastAsia="en-US"/>
        </w:rPr>
      </w:pPr>
      <w:r w:rsidRPr="00BD305E">
        <w:rPr>
          <w:rFonts w:ascii="Arial" w:hAnsi="Arial" w:cs="Arial"/>
          <w:sz w:val="22"/>
          <w:szCs w:val="22"/>
          <w:lang w:eastAsia="en-US"/>
        </w:rPr>
        <w:t>This checklist has been designed to support managers in ensuring compliance with the UK GDPR.</w:t>
      </w:r>
    </w:p>
    <w:p w14:paraId="53995CD1"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0BB02C10" w14:textId="77777777" w:rsidTr="00003771">
        <w:tc>
          <w:tcPr>
            <w:tcW w:w="9010" w:type="dxa"/>
            <w:gridSpan w:val="2"/>
            <w:shd w:val="clear" w:color="auto" w:fill="4472C4" w:themeFill="accent1"/>
          </w:tcPr>
          <w:p w14:paraId="3D8AAA33"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Creating a culture of awareness</w:t>
            </w:r>
          </w:p>
        </w:tc>
      </w:tr>
      <w:tr w:rsidR="00003771" w:rsidRPr="00BD305E" w14:paraId="734657FA" w14:textId="77777777" w:rsidTr="00E84B5A">
        <w:tc>
          <w:tcPr>
            <w:tcW w:w="9010" w:type="dxa"/>
            <w:gridSpan w:val="2"/>
          </w:tcPr>
          <w:p w14:paraId="00972ADF" w14:textId="31EDF511" w:rsidR="00003771" w:rsidRPr="00BD305E" w:rsidRDefault="00003771" w:rsidP="00E84B5A">
            <w:pPr>
              <w:rPr>
                <w:rFonts w:ascii="Arial" w:hAnsi="Arial" w:cs="Arial"/>
                <w:sz w:val="22"/>
                <w:szCs w:val="22"/>
                <w:lang w:eastAsia="en-US"/>
              </w:rPr>
            </w:pPr>
            <w:r w:rsidRPr="00BD305E">
              <w:rPr>
                <w:rFonts w:ascii="Arial" w:hAnsi="Arial" w:cs="Arial"/>
                <w:sz w:val="22"/>
                <w:szCs w:val="22"/>
                <w:lang w:eastAsia="en-US"/>
              </w:rPr>
              <w:t xml:space="preserve">All staff need to be aware </w:t>
            </w:r>
            <w:r w:rsidR="00305A7B">
              <w:rPr>
                <w:rFonts w:ascii="Arial" w:hAnsi="Arial" w:cs="Arial"/>
                <w:sz w:val="22"/>
                <w:szCs w:val="22"/>
                <w:lang w:eastAsia="en-US"/>
              </w:rPr>
              <w:t xml:space="preserve">of </w:t>
            </w:r>
            <w:r w:rsidRPr="00BD305E">
              <w:rPr>
                <w:rFonts w:ascii="Arial" w:hAnsi="Arial" w:cs="Arial"/>
                <w:sz w:val="22"/>
                <w:szCs w:val="22"/>
                <w:lang w:eastAsia="en-US"/>
              </w:rPr>
              <w:t xml:space="preserve">the UK GDPR </w:t>
            </w:r>
            <w:r w:rsidR="00305A7B">
              <w:rPr>
                <w:rFonts w:ascii="Arial" w:hAnsi="Arial" w:cs="Arial"/>
                <w:sz w:val="22"/>
                <w:szCs w:val="22"/>
                <w:lang w:eastAsia="en-US"/>
              </w:rPr>
              <w:t>requirements.</w:t>
            </w:r>
          </w:p>
          <w:p w14:paraId="4254644F" w14:textId="77777777" w:rsidR="00003771" w:rsidRPr="00BD305E" w:rsidRDefault="00003771" w:rsidP="00E84B5A">
            <w:pPr>
              <w:rPr>
                <w:rFonts w:ascii="Arial" w:hAnsi="Arial" w:cs="Arial"/>
                <w:sz w:val="22"/>
                <w:szCs w:val="22"/>
                <w:lang w:eastAsia="en-US"/>
              </w:rPr>
            </w:pPr>
          </w:p>
          <w:p w14:paraId="3A99067D" w14:textId="77777777" w:rsidR="00003771" w:rsidRPr="00BD305E" w:rsidRDefault="00003771" w:rsidP="00E84B5A">
            <w:pPr>
              <w:pStyle w:val="ListParagraph"/>
              <w:numPr>
                <w:ilvl w:val="0"/>
                <w:numId w:val="21"/>
              </w:numPr>
              <w:rPr>
                <w:rFonts w:ascii="Arial" w:hAnsi="Arial" w:cs="Arial"/>
              </w:rPr>
            </w:pPr>
            <w:r w:rsidRPr="00BD305E">
              <w:rPr>
                <w:rFonts w:ascii="Arial" w:hAnsi="Arial" w:cs="Arial"/>
              </w:rPr>
              <w:t>It is essential that they have an understanding of the UK GDPR</w:t>
            </w:r>
          </w:p>
          <w:p w14:paraId="1B9ABBE9" w14:textId="77777777" w:rsidR="00003771" w:rsidRPr="00BD305E" w:rsidRDefault="00003771" w:rsidP="00E84B5A">
            <w:pPr>
              <w:pStyle w:val="ListParagraph"/>
              <w:rPr>
                <w:rFonts w:ascii="Arial" w:hAnsi="Arial" w:cs="Arial"/>
              </w:rPr>
            </w:pPr>
          </w:p>
          <w:p w14:paraId="1A278C99" w14:textId="77777777" w:rsidR="00003771" w:rsidRPr="00BD305E" w:rsidRDefault="00003771" w:rsidP="00E84B5A">
            <w:pPr>
              <w:pStyle w:val="ListParagraph"/>
              <w:numPr>
                <w:ilvl w:val="0"/>
                <w:numId w:val="21"/>
              </w:numPr>
              <w:rPr>
                <w:rFonts w:ascii="Arial" w:hAnsi="Arial" w:cs="Arial"/>
              </w:rPr>
            </w:pPr>
            <w:r w:rsidRPr="00BD305E">
              <w:rPr>
                <w:rFonts w:ascii="Arial" w:hAnsi="Arial" w:cs="Arial"/>
              </w:rPr>
              <w:t xml:space="preserve">Have you shared the organisation’s UK GDPR policy with them or signposted them to further information, i.e., </w:t>
            </w:r>
            <w:hyperlink r:id="rId68" w:history="1">
              <w:r w:rsidRPr="00BD305E">
                <w:rPr>
                  <w:rStyle w:val="Hyperlink"/>
                  <w:rFonts w:ascii="Arial" w:hAnsi="Arial" w:cs="Arial"/>
                </w:rPr>
                <w:t>ico.org.uk</w:t>
              </w:r>
            </w:hyperlink>
            <w:r w:rsidRPr="00BD305E">
              <w:rPr>
                <w:rStyle w:val="Hyperlink"/>
                <w:rFonts w:ascii="Arial" w:hAnsi="Arial" w:cs="Arial"/>
                <w:color w:val="auto"/>
                <w:u w:val="none"/>
              </w:rPr>
              <w:t>?</w:t>
            </w:r>
            <w:r w:rsidRPr="00BD305E">
              <w:rPr>
                <w:rFonts w:ascii="Arial" w:hAnsi="Arial" w:cs="Arial"/>
              </w:rPr>
              <w:t xml:space="preserve"> </w:t>
            </w:r>
          </w:p>
          <w:p w14:paraId="7A4990D6" w14:textId="77777777" w:rsidR="00003771" w:rsidRPr="00BD305E" w:rsidRDefault="00003771" w:rsidP="00E84B5A">
            <w:pPr>
              <w:pStyle w:val="ListParagraph"/>
              <w:rPr>
                <w:rFonts w:ascii="Arial" w:hAnsi="Arial" w:cs="Arial"/>
              </w:rPr>
            </w:pPr>
          </w:p>
        </w:tc>
      </w:tr>
      <w:tr w:rsidR="00003771" w:rsidRPr="00BD305E" w14:paraId="4B723E16" w14:textId="77777777" w:rsidTr="00474C43">
        <w:tc>
          <w:tcPr>
            <w:tcW w:w="8500" w:type="dxa"/>
            <w:shd w:val="clear" w:color="auto" w:fill="FFFFFF" w:themeFill="background1"/>
          </w:tcPr>
          <w:p w14:paraId="6CAA03EF" w14:textId="7C7D627F"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bookmarkStart w:id="130" w:name="_GoBack"/>
            <w:bookmarkEnd w:id="130"/>
          </w:p>
        </w:tc>
        <w:tc>
          <w:tcPr>
            <w:tcW w:w="510" w:type="dxa"/>
            <w:shd w:val="clear" w:color="auto" w:fill="FFFFFF" w:themeFill="background1"/>
          </w:tcPr>
          <w:p w14:paraId="5165DA3D" w14:textId="77777777" w:rsidR="00003771" w:rsidRPr="00BD305E" w:rsidRDefault="00003771" w:rsidP="00474C43">
            <w:pPr>
              <w:spacing w:before="60" w:after="60"/>
              <w:rPr>
                <w:rFonts w:ascii="Arial" w:hAnsi="Arial" w:cs="Arial"/>
                <w:sz w:val="22"/>
                <w:szCs w:val="22"/>
                <w:lang w:eastAsia="en-US"/>
              </w:rPr>
            </w:pPr>
          </w:p>
        </w:tc>
      </w:tr>
    </w:tbl>
    <w:p w14:paraId="78C4A95B"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00F311CD" w14:textId="77777777" w:rsidTr="00474C43">
        <w:tc>
          <w:tcPr>
            <w:tcW w:w="9010" w:type="dxa"/>
            <w:gridSpan w:val="2"/>
            <w:shd w:val="clear" w:color="auto" w:fill="4472C4" w:themeFill="accent1"/>
          </w:tcPr>
          <w:p w14:paraId="2BA20052"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Understanding the information flow</w:t>
            </w:r>
          </w:p>
        </w:tc>
      </w:tr>
      <w:tr w:rsidR="00003771" w:rsidRPr="00BD305E" w14:paraId="7E9BDFD2" w14:textId="77777777" w:rsidTr="00E84B5A">
        <w:tc>
          <w:tcPr>
            <w:tcW w:w="9010" w:type="dxa"/>
            <w:gridSpan w:val="2"/>
          </w:tcPr>
          <w:p w14:paraId="07FE87F2" w14:textId="77777777" w:rsidR="00003771" w:rsidRPr="00BD305E" w:rsidRDefault="00003771" w:rsidP="00E84B5A">
            <w:pPr>
              <w:rPr>
                <w:rFonts w:ascii="Arial" w:hAnsi="Arial" w:cs="Arial"/>
                <w:sz w:val="22"/>
                <w:szCs w:val="22"/>
                <w:lang w:eastAsia="en-US"/>
              </w:rPr>
            </w:pPr>
            <w:r w:rsidRPr="00BD305E">
              <w:rPr>
                <w:rFonts w:ascii="Arial" w:hAnsi="Arial" w:cs="Arial"/>
                <w:sz w:val="22"/>
                <w:szCs w:val="22"/>
                <w:lang w:eastAsia="en-US"/>
              </w:rPr>
              <w:t>The organisation must understand why, whose, what, when and where personal data is processed.</w:t>
            </w:r>
          </w:p>
          <w:p w14:paraId="4AB1F14F" w14:textId="77777777" w:rsidR="00003771" w:rsidRPr="00BD305E" w:rsidRDefault="00003771" w:rsidP="00E84B5A">
            <w:pPr>
              <w:rPr>
                <w:rFonts w:ascii="Arial" w:hAnsi="Arial" w:cs="Arial"/>
                <w:sz w:val="22"/>
                <w:szCs w:val="22"/>
                <w:lang w:eastAsia="en-US"/>
              </w:rPr>
            </w:pPr>
          </w:p>
          <w:p w14:paraId="278330FD" w14:textId="786C4DD0" w:rsidR="00003771" w:rsidRPr="00BD305E" w:rsidRDefault="00003771" w:rsidP="00E84B5A">
            <w:pPr>
              <w:pStyle w:val="ListParagraph"/>
              <w:numPr>
                <w:ilvl w:val="0"/>
                <w:numId w:val="21"/>
              </w:numPr>
              <w:rPr>
                <w:rFonts w:ascii="Arial" w:hAnsi="Arial" w:cs="Arial"/>
              </w:rPr>
            </w:pPr>
            <w:r w:rsidRPr="00BD305E">
              <w:rPr>
                <w:rFonts w:ascii="Arial" w:hAnsi="Arial" w:cs="Arial"/>
              </w:rPr>
              <w:t>Conducting a data</w:t>
            </w:r>
            <w:r w:rsidR="0013257C">
              <w:rPr>
                <w:rFonts w:ascii="Arial" w:hAnsi="Arial" w:cs="Arial"/>
              </w:rPr>
              <w:t xml:space="preserve"> </w:t>
            </w:r>
            <w:r w:rsidRPr="00BD305E">
              <w:rPr>
                <w:rFonts w:ascii="Arial" w:hAnsi="Arial" w:cs="Arial"/>
              </w:rPr>
              <w:t>mapping exercise will enable organisations to do this</w:t>
            </w:r>
          </w:p>
          <w:p w14:paraId="6EFB2E6D" w14:textId="77777777" w:rsidR="00003771" w:rsidRPr="00BD305E" w:rsidRDefault="00003771" w:rsidP="00E84B5A">
            <w:pPr>
              <w:pStyle w:val="ListParagraph"/>
              <w:rPr>
                <w:rFonts w:ascii="Arial" w:hAnsi="Arial" w:cs="Arial"/>
              </w:rPr>
            </w:pPr>
          </w:p>
          <w:p w14:paraId="3531079B" w14:textId="7D3A07CB" w:rsidR="00003771" w:rsidRPr="00BD305E" w:rsidRDefault="00003771" w:rsidP="00E84B5A">
            <w:pPr>
              <w:pStyle w:val="ListParagraph"/>
              <w:numPr>
                <w:ilvl w:val="0"/>
                <w:numId w:val="21"/>
              </w:numPr>
              <w:rPr>
                <w:rFonts w:ascii="Arial" w:hAnsi="Arial" w:cs="Arial"/>
              </w:rPr>
            </w:pPr>
            <w:r w:rsidRPr="00BD305E">
              <w:rPr>
                <w:rFonts w:ascii="Arial" w:hAnsi="Arial" w:cs="Arial"/>
              </w:rPr>
              <w:t>Data</w:t>
            </w:r>
            <w:r w:rsidR="0013257C">
              <w:rPr>
                <w:rFonts w:ascii="Arial" w:hAnsi="Arial" w:cs="Arial"/>
              </w:rPr>
              <w:t xml:space="preserve"> </w:t>
            </w:r>
            <w:r w:rsidRPr="00BD305E">
              <w:rPr>
                <w:rFonts w:ascii="Arial" w:hAnsi="Arial" w:cs="Arial"/>
              </w:rPr>
              <w:t>mapping is not a one-person task; all staff should be involved, enabling the wider gathering of accurate information</w:t>
            </w:r>
          </w:p>
          <w:p w14:paraId="34FD9076" w14:textId="77777777" w:rsidR="00003771" w:rsidRPr="00BD305E" w:rsidRDefault="00003771" w:rsidP="00E84B5A">
            <w:pPr>
              <w:pStyle w:val="ListParagraph"/>
              <w:rPr>
                <w:rFonts w:ascii="Arial" w:hAnsi="Arial" w:cs="Arial"/>
              </w:rPr>
            </w:pPr>
          </w:p>
        </w:tc>
      </w:tr>
      <w:tr w:rsidR="00003771" w:rsidRPr="00BD305E" w14:paraId="63098244" w14:textId="77777777" w:rsidTr="00474C43">
        <w:tc>
          <w:tcPr>
            <w:tcW w:w="8500" w:type="dxa"/>
            <w:shd w:val="clear" w:color="auto" w:fill="FFFFFF" w:themeFill="background1"/>
          </w:tcPr>
          <w:p w14:paraId="3CE67D24"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510" w:type="dxa"/>
            <w:shd w:val="clear" w:color="auto" w:fill="FFFFFF" w:themeFill="background1"/>
          </w:tcPr>
          <w:p w14:paraId="715B9FAC" w14:textId="77777777" w:rsidR="00003771" w:rsidRPr="00BD305E" w:rsidRDefault="00003771" w:rsidP="00474C43">
            <w:pPr>
              <w:spacing w:before="60" w:after="60"/>
              <w:rPr>
                <w:rFonts w:ascii="Arial" w:hAnsi="Arial" w:cs="Arial"/>
                <w:b/>
                <w:sz w:val="22"/>
                <w:szCs w:val="22"/>
                <w:lang w:eastAsia="en-US"/>
              </w:rPr>
            </w:pPr>
          </w:p>
        </w:tc>
      </w:tr>
    </w:tbl>
    <w:p w14:paraId="7ED76369"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2E7B681D" w14:textId="77777777" w:rsidTr="00474C43">
        <w:tc>
          <w:tcPr>
            <w:tcW w:w="9010" w:type="dxa"/>
            <w:gridSpan w:val="2"/>
            <w:shd w:val="clear" w:color="auto" w:fill="4472C4" w:themeFill="accent1"/>
          </w:tcPr>
          <w:p w14:paraId="280DA4E3"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Data Protection Impact Assessment (DPIA)</w:t>
            </w:r>
          </w:p>
        </w:tc>
      </w:tr>
      <w:tr w:rsidR="00003771" w:rsidRPr="00BD305E" w14:paraId="164683F1" w14:textId="77777777" w:rsidTr="00E84B5A">
        <w:tc>
          <w:tcPr>
            <w:tcW w:w="9010" w:type="dxa"/>
            <w:gridSpan w:val="2"/>
          </w:tcPr>
          <w:p w14:paraId="4F55FD98" w14:textId="77777777" w:rsidR="00003771" w:rsidRPr="00BD305E" w:rsidRDefault="00003771" w:rsidP="00E84B5A">
            <w:pPr>
              <w:rPr>
                <w:rFonts w:ascii="Arial" w:hAnsi="Arial" w:cs="Arial"/>
                <w:sz w:val="22"/>
                <w:szCs w:val="22"/>
                <w:lang w:eastAsia="en-US"/>
              </w:rPr>
            </w:pPr>
            <w:r w:rsidRPr="00BD305E">
              <w:rPr>
                <w:rFonts w:ascii="Arial" w:hAnsi="Arial" w:cs="Arial"/>
                <w:sz w:val="22"/>
                <w:szCs w:val="22"/>
                <w:lang w:eastAsia="en-US"/>
              </w:rPr>
              <w:t>The DPIA is the most efficient way for the organisation to meet its data protection obligations. DPIAs are mandatory in accordance with Article 35 of the UK GDPR and should be undertaken when:</w:t>
            </w:r>
          </w:p>
          <w:p w14:paraId="30EEA0FD" w14:textId="77777777" w:rsidR="00003771" w:rsidRPr="00BD305E" w:rsidRDefault="00003771" w:rsidP="00E84B5A">
            <w:pPr>
              <w:numPr>
                <w:ilvl w:val="0"/>
                <w:numId w:val="14"/>
              </w:numPr>
              <w:spacing w:before="240" w:after="240"/>
              <w:ind w:left="714" w:hanging="357"/>
              <w:textAlignment w:val="baseline"/>
              <w:rPr>
                <w:rFonts w:ascii="Arial" w:hAnsi="Arial" w:cs="Arial"/>
                <w:sz w:val="22"/>
                <w:szCs w:val="22"/>
              </w:rPr>
            </w:pPr>
            <w:r w:rsidRPr="00BD305E">
              <w:rPr>
                <w:rFonts w:ascii="Arial" w:hAnsi="Arial" w:cs="Arial"/>
                <w:sz w:val="22"/>
                <w:szCs w:val="22"/>
              </w:rPr>
              <w:t>A type of processing, in particular using new technologies, and taking into account the nature, scope, context and purposes of the processing, is likely to result in a high risk to the rights and freedoms of natural persons; the data controller shall, prior to the processing, carry out an assessment of the impact of the envisaged processing operations on the protection of personal data. A single assessment may address a set of similar processing operations which present similar high risks</w:t>
            </w:r>
          </w:p>
          <w:p w14:paraId="4DA2CB8C" w14:textId="77777777" w:rsidR="00003771" w:rsidRPr="00BD305E" w:rsidRDefault="00003771" w:rsidP="00E84B5A">
            <w:pPr>
              <w:numPr>
                <w:ilvl w:val="0"/>
                <w:numId w:val="14"/>
              </w:numPr>
              <w:spacing w:before="240" w:after="240"/>
              <w:ind w:left="714" w:hanging="357"/>
              <w:textAlignment w:val="baseline"/>
              <w:rPr>
                <w:rFonts w:ascii="Arial" w:hAnsi="Arial" w:cs="Arial"/>
              </w:rPr>
            </w:pPr>
            <w:r w:rsidRPr="00BD305E">
              <w:rPr>
                <w:rFonts w:ascii="Arial" w:hAnsi="Arial" w:cs="Arial"/>
                <w:sz w:val="22"/>
                <w:szCs w:val="22"/>
              </w:rPr>
              <w:t>Extensive processing activities are undertaken, including large scale processing of personal and/or special data</w:t>
            </w:r>
          </w:p>
          <w:p w14:paraId="79679831" w14:textId="77777777" w:rsidR="00003771" w:rsidRPr="00BD305E" w:rsidRDefault="00003771" w:rsidP="00E84B5A">
            <w:pPr>
              <w:spacing w:before="240" w:after="240"/>
              <w:textAlignment w:val="baseline"/>
              <w:rPr>
                <w:rFonts w:ascii="Arial" w:hAnsi="Arial" w:cs="Arial"/>
              </w:rPr>
            </w:pPr>
            <w:r w:rsidRPr="00BD305E">
              <w:rPr>
                <w:rFonts w:ascii="Arial" w:hAnsi="Arial" w:cs="Arial"/>
                <w:sz w:val="22"/>
                <w:szCs w:val="22"/>
              </w:rPr>
              <w:lastRenderedPageBreak/>
              <w:t>Have DPIAs been completed? Best practice is to undertake DPIAs for existing processes to ensure that data protection obligations are met.</w:t>
            </w:r>
          </w:p>
        </w:tc>
      </w:tr>
      <w:tr w:rsidR="00003771" w:rsidRPr="00BD305E" w14:paraId="6C7036C1" w14:textId="77777777" w:rsidTr="00474C43">
        <w:tc>
          <w:tcPr>
            <w:tcW w:w="8500" w:type="dxa"/>
            <w:shd w:val="clear" w:color="auto" w:fill="FFFFFF" w:themeFill="background1"/>
          </w:tcPr>
          <w:p w14:paraId="2A407D02"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510" w:type="dxa"/>
            <w:shd w:val="clear" w:color="auto" w:fill="FFFFFF" w:themeFill="background1"/>
          </w:tcPr>
          <w:p w14:paraId="07088202" w14:textId="77777777" w:rsidR="00003771" w:rsidRPr="00BD305E" w:rsidRDefault="00003771" w:rsidP="00474C43">
            <w:pPr>
              <w:spacing w:before="60" w:after="60"/>
              <w:rPr>
                <w:rFonts w:ascii="Arial" w:hAnsi="Arial" w:cs="Arial"/>
                <w:b/>
                <w:sz w:val="22"/>
                <w:szCs w:val="22"/>
                <w:lang w:eastAsia="en-US"/>
              </w:rPr>
            </w:pPr>
          </w:p>
        </w:tc>
      </w:tr>
      <w:tr w:rsidR="00003771" w:rsidRPr="00BD305E" w14:paraId="6CFDC143" w14:textId="77777777" w:rsidTr="00474C43">
        <w:tc>
          <w:tcPr>
            <w:tcW w:w="8516" w:type="dxa"/>
            <w:gridSpan w:val="2"/>
            <w:shd w:val="clear" w:color="auto" w:fill="4472C4" w:themeFill="accent1"/>
          </w:tcPr>
          <w:p w14:paraId="5EF80C53"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Updating privacy information</w:t>
            </w:r>
          </w:p>
        </w:tc>
      </w:tr>
      <w:tr w:rsidR="00003771" w:rsidRPr="00BD305E" w14:paraId="2094BAF5" w14:textId="77777777" w:rsidTr="00E84B5A">
        <w:tc>
          <w:tcPr>
            <w:tcW w:w="8516" w:type="dxa"/>
            <w:gridSpan w:val="2"/>
          </w:tcPr>
          <w:p w14:paraId="5DEC23DF" w14:textId="77777777" w:rsidR="00003771" w:rsidRPr="00BD305E" w:rsidRDefault="00003771" w:rsidP="00E84B5A">
            <w:pPr>
              <w:rPr>
                <w:rFonts w:ascii="Arial" w:hAnsi="Arial" w:cs="Arial"/>
                <w:sz w:val="22"/>
                <w:szCs w:val="22"/>
                <w:lang w:eastAsia="en-US"/>
              </w:rPr>
            </w:pPr>
            <w:r w:rsidRPr="00BD305E">
              <w:rPr>
                <w:rFonts w:ascii="Arial" w:hAnsi="Arial" w:cs="Arial"/>
                <w:sz w:val="22"/>
                <w:szCs w:val="22"/>
                <w:lang w:eastAsia="en-US"/>
              </w:rPr>
              <w:t>All data subjects must understand how their data will be used.</w:t>
            </w:r>
          </w:p>
          <w:p w14:paraId="4728F7A8" w14:textId="77777777" w:rsidR="00003771" w:rsidRPr="00BD305E" w:rsidRDefault="00003771" w:rsidP="00E84B5A">
            <w:pPr>
              <w:rPr>
                <w:rFonts w:ascii="Arial" w:hAnsi="Arial" w:cs="Arial"/>
                <w:sz w:val="22"/>
                <w:szCs w:val="22"/>
                <w:lang w:eastAsia="en-US"/>
              </w:rPr>
            </w:pPr>
          </w:p>
          <w:p w14:paraId="09B1B31D" w14:textId="77777777" w:rsidR="00003771" w:rsidRPr="00BD305E" w:rsidRDefault="00003771" w:rsidP="00E84B5A">
            <w:pPr>
              <w:pStyle w:val="ListParagraph"/>
              <w:numPr>
                <w:ilvl w:val="0"/>
                <w:numId w:val="21"/>
              </w:numPr>
              <w:rPr>
                <w:rFonts w:ascii="Arial" w:hAnsi="Arial" w:cs="Arial"/>
              </w:rPr>
            </w:pPr>
            <w:r w:rsidRPr="00BD305E">
              <w:rPr>
                <w:rFonts w:ascii="Arial" w:hAnsi="Arial" w:cs="Arial"/>
              </w:rPr>
              <w:t>Have you updated your practice privacy notice and are all staff aware of the changes?</w:t>
            </w:r>
          </w:p>
          <w:p w14:paraId="0131132A" w14:textId="77777777" w:rsidR="00003771" w:rsidRPr="00BD305E" w:rsidRDefault="00003771" w:rsidP="00E84B5A">
            <w:pPr>
              <w:pStyle w:val="ListParagraph"/>
              <w:rPr>
                <w:rFonts w:ascii="Arial" w:hAnsi="Arial" w:cs="Arial"/>
              </w:rPr>
            </w:pPr>
          </w:p>
          <w:p w14:paraId="52B8EB81" w14:textId="77777777" w:rsidR="00003771" w:rsidRPr="00BD305E" w:rsidRDefault="00003771" w:rsidP="00E84B5A">
            <w:pPr>
              <w:pStyle w:val="ListParagraph"/>
              <w:numPr>
                <w:ilvl w:val="0"/>
                <w:numId w:val="21"/>
              </w:numPr>
              <w:rPr>
                <w:rFonts w:ascii="Arial" w:hAnsi="Arial" w:cs="Arial"/>
              </w:rPr>
            </w:pPr>
            <w:r w:rsidRPr="00BD305E">
              <w:rPr>
                <w:rFonts w:ascii="Arial" w:hAnsi="Arial" w:cs="Arial"/>
              </w:rPr>
              <w:t>Have you displayed the privacy notice in prominent positions such as the waiting room, consulting rooms and website and updated the organisation’s information leaflet?</w:t>
            </w:r>
          </w:p>
          <w:p w14:paraId="1B2F8504" w14:textId="77777777" w:rsidR="00003771" w:rsidRPr="00BD305E" w:rsidRDefault="00003771" w:rsidP="00E84B5A">
            <w:pPr>
              <w:rPr>
                <w:rFonts w:ascii="Arial" w:hAnsi="Arial" w:cs="Arial"/>
              </w:rPr>
            </w:pPr>
          </w:p>
          <w:p w14:paraId="090E9E88" w14:textId="77777777" w:rsidR="00003771" w:rsidRPr="00BD305E" w:rsidRDefault="00003771" w:rsidP="00E84B5A">
            <w:pPr>
              <w:pStyle w:val="ListParagraph"/>
              <w:numPr>
                <w:ilvl w:val="0"/>
                <w:numId w:val="21"/>
              </w:numPr>
              <w:rPr>
                <w:rFonts w:ascii="Arial" w:hAnsi="Arial" w:cs="Arial"/>
              </w:rPr>
            </w:pPr>
            <w:r w:rsidRPr="00BD305E">
              <w:rPr>
                <w:rFonts w:ascii="Arial" w:hAnsi="Arial" w:cs="Arial"/>
              </w:rPr>
              <w:t xml:space="preserve">Is your privacy notice in a language that is understandable to all patients? </w:t>
            </w:r>
          </w:p>
          <w:p w14:paraId="10E4841A" w14:textId="77777777" w:rsidR="00003771" w:rsidRPr="00BD305E" w:rsidRDefault="00003771" w:rsidP="00E84B5A">
            <w:pPr>
              <w:rPr>
                <w:rFonts w:ascii="Arial" w:hAnsi="Arial" w:cs="Arial"/>
              </w:rPr>
            </w:pPr>
          </w:p>
          <w:p w14:paraId="29AC91DE" w14:textId="77777777" w:rsidR="00003771" w:rsidRPr="00BD305E" w:rsidRDefault="00003771" w:rsidP="00E84B5A">
            <w:pPr>
              <w:pStyle w:val="ListParagraph"/>
              <w:numPr>
                <w:ilvl w:val="0"/>
                <w:numId w:val="21"/>
              </w:numPr>
              <w:rPr>
                <w:rFonts w:ascii="Arial" w:hAnsi="Arial" w:cs="Arial"/>
              </w:rPr>
            </w:pPr>
            <w:r w:rsidRPr="00BD305E">
              <w:rPr>
                <w:rFonts w:ascii="Arial" w:hAnsi="Arial" w:cs="Arial"/>
              </w:rPr>
              <w:t>Does it comply with Articles 12, 13 and 14 of the UK GDPR?</w:t>
            </w:r>
          </w:p>
          <w:p w14:paraId="5C64C2DF" w14:textId="77777777" w:rsidR="00003771" w:rsidRPr="00BD305E" w:rsidRDefault="00003771" w:rsidP="00E84B5A">
            <w:pPr>
              <w:pStyle w:val="ListParagraph"/>
              <w:rPr>
                <w:rFonts w:ascii="Arial" w:hAnsi="Arial" w:cs="Arial"/>
              </w:rPr>
            </w:pPr>
          </w:p>
        </w:tc>
      </w:tr>
      <w:tr w:rsidR="00003771" w:rsidRPr="00BD305E" w14:paraId="085CFB51" w14:textId="77777777" w:rsidTr="00474C43">
        <w:tc>
          <w:tcPr>
            <w:tcW w:w="8025" w:type="dxa"/>
            <w:shd w:val="clear" w:color="auto" w:fill="FFFFFF" w:themeFill="background1"/>
          </w:tcPr>
          <w:p w14:paraId="04D50999"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491" w:type="dxa"/>
            <w:shd w:val="clear" w:color="auto" w:fill="FFFFFF" w:themeFill="background1"/>
          </w:tcPr>
          <w:p w14:paraId="7BDDD5B8" w14:textId="77777777" w:rsidR="00003771" w:rsidRPr="00BD305E" w:rsidRDefault="00003771" w:rsidP="00474C43">
            <w:pPr>
              <w:spacing w:before="60" w:after="60"/>
              <w:rPr>
                <w:rFonts w:ascii="Arial" w:hAnsi="Arial" w:cs="Arial"/>
                <w:b/>
                <w:sz w:val="22"/>
                <w:szCs w:val="22"/>
                <w:lang w:eastAsia="en-US"/>
              </w:rPr>
            </w:pPr>
          </w:p>
        </w:tc>
      </w:tr>
    </w:tbl>
    <w:p w14:paraId="7222157C"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1475C3A8" w14:textId="77777777" w:rsidTr="00474C43">
        <w:tc>
          <w:tcPr>
            <w:tcW w:w="9010" w:type="dxa"/>
            <w:gridSpan w:val="2"/>
            <w:shd w:val="clear" w:color="auto" w:fill="4472C4" w:themeFill="accent1"/>
          </w:tcPr>
          <w:p w14:paraId="209F25B1"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The rights of the data subject</w:t>
            </w:r>
          </w:p>
        </w:tc>
      </w:tr>
      <w:tr w:rsidR="00003771" w:rsidRPr="00BD305E" w14:paraId="4754DD54" w14:textId="77777777" w:rsidTr="00E84B5A">
        <w:tc>
          <w:tcPr>
            <w:tcW w:w="9010" w:type="dxa"/>
            <w:gridSpan w:val="2"/>
          </w:tcPr>
          <w:p w14:paraId="04DFBB08" w14:textId="57D3ACB7" w:rsidR="00003771" w:rsidRPr="00BD305E" w:rsidRDefault="00003771" w:rsidP="00E84B5A">
            <w:pPr>
              <w:rPr>
                <w:rFonts w:ascii="Arial" w:hAnsi="Arial" w:cs="Arial"/>
                <w:sz w:val="22"/>
                <w:szCs w:val="22"/>
                <w:lang w:eastAsia="en-US"/>
              </w:rPr>
            </w:pPr>
            <w:r w:rsidRPr="00BD305E">
              <w:rPr>
                <w:rFonts w:ascii="Arial" w:hAnsi="Arial" w:cs="Arial"/>
                <w:sz w:val="22"/>
                <w:szCs w:val="22"/>
                <w:lang w:eastAsia="en-US"/>
              </w:rPr>
              <w:t>All data subjects have rights. Has this been communicated or is information displayed to reflect this</w:t>
            </w:r>
            <w:r w:rsidR="0013257C">
              <w:rPr>
                <w:rFonts w:ascii="Arial" w:hAnsi="Arial" w:cs="Arial"/>
                <w:sz w:val="22"/>
                <w:szCs w:val="22"/>
                <w:lang w:eastAsia="en-US"/>
              </w:rPr>
              <w:t>? D</w:t>
            </w:r>
            <w:r w:rsidRPr="00BD305E">
              <w:rPr>
                <w:rFonts w:ascii="Arial" w:hAnsi="Arial" w:cs="Arial"/>
                <w:sz w:val="22"/>
                <w:szCs w:val="22"/>
                <w:lang w:eastAsia="en-US"/>
              </w:rPr>
              <w:t>oes it include the:</w:t>
            </w:r>
          </w:p>
          <w:p w14:paraId="1616E1D3" w14:textId="77777777" w:rsidR="00003771" w:rsidRPr="00BD305E" w:rsidRDefault="00003771" w:rsidP="00E84B5A">
            <w:pPr>
              <w:rPr>
                <w:rFonts w:ascii="Arial" w:hAnsi="Arial" w:cs="Arial"/>
                <w:sz w:val="22"/>
                <w:szCs w:val="22"/>
                <w:lang w:eastAsia="en-US"/>
              </w:rPr>
            </w:pPr>
          </w:p>
          <w:p w14:paraId="06E20CCF" w14:textId="77777777" w:rsidR="00003771" w:rsidRPr="00BD305E" w:rsidRDefault="00003771" w:rsidP="00E84B5A">
            <w:pPr>
              <w:pStyle w:val="ListParagraph"/>
              <w:numPr>
                <w:ilvl w:val="0"/>
                <w:numId w:val="22"/>
              </w:numPr>
              <w:rPr>
                <w:rFonts w:ascii="Arial" w:hAnsi="Arial" w:cs="Arial"/>
              </w:rPr>
            </w:pPr>
            <w:r w:rsidRPr="00BD305E">
              <w:rPr>
                <w:rFonts w:ascii="Arial" w:hAnsi="Arial" w:cs="Arial"/>
              </w:rPr>
              <w:t>Right of access</w:t>
            </w:r>
          </w:p>
          <w:p w14:paraId="29121AAC" w14:textId="77777777" w:rsidR="00003771" w:rsidRPr="00BD305E" w:rsidRDefault="00003771" w:rsidP="00E84B5A">
            <w:pPr>
              <w:pStyle w:val="ListParagraph"/>
              <w:numPr>
                <w:ilvl w:val="0"/>
                <w:numId w:val="22"/>
              </w:numPr>
              <w:rPr>
                <w:rFonts w:ascii="Arial" w:hAnsi="Arial" w:cs="Arial"/>
              </w:rPr>
            </w:pPr>
            <w:r w:rsidRPr="00BD305E">
              <w:rPr>
                <w:rFonts w:ascii="Arial" w:hAnsi="Arial" w:cs="Arial"/>
              </w:rPr>
              <w:t>Right to erasure (or right to be forgotten)</w:t>
            </w:r>
          </w:p>
          <w:p w14:paraId="3695F82D" w14:textId="77777777" w:rsidR="00003771" w:rsidRPr="00BD305E" w:rsidRDefault="00003771" w:rsidP="00E84B5A">
            <w:pPr>
              <w:pStyle w:val="ListParagraph"/>
              <w:numPr>
                <w:ilvl w:val="0"/>
                <w:numId w:val="22"/>
              </w:numPr>
              <w:rPr>
                <w:rFonts w:ascii="Arial" w:hAnsi="Arial" w:cs="Arial"/>
              </w:rPr>
            </w:pPr>
            <w:r w:rsidRPr="00BD305E">
              <w:rPr>
                <w:rFonts w:ascii="Arial" w:hAnsi="Arial" w:cs="Arial"/>
              </w:rPr>
              <w:t>Right to data portability</w:t>
            </w:r>
          </w:p>
          <w:p w14:paraId="325E98F6" w14:textId="77777777" w:rsidR="00003771" w:rsidRPr="00BD305E" w:rsidRDefault="00003771" w:rsidP="00E84B5A">
            <w:pPr>
              <w:pStyle w:val="ListParagraph"/>
              <w:numPr>
                <w:ilvl w:val="0"/>
                <w:numId w:val="22"/>
              </w:numPr>
              <w:rPr>
                <w:rFonts w:ascii="Arial" w:hAnsi="Arial" w:cs="Arial"/>
              </w:rPr>
            </w:pPr>
            <w:r w:rsidRPr="00BD305E">
              <w:rPr>
                <w:rFonts w:ascii="Arial" w:hAnsi="Arial" w:cs="Arial"/>
              </w:rPr>
              <w:t>Right to object</w:t>
            </w:r>
          </w:p>
          <w:p w14:paraId="721EDB33" w14:textId="77777777" w:rsidR="00003771" w:rsidRPr="00BD305E" w:rsidRDefault="00003771" w:rsidP="00E84B5A">
            <w:pPr>
              <w:pStyle w:val="ListParagraph"/>
              <w:numPr>
                <w:ilvl w:val="0"/>
                <w:numId w:val="22"/>
              </w:numPr>
              <w:rPr>
                <w:rFonts w:ascii="Arial" w:hAnsi="Arial" w:cs="Arial"/>
              </w:rPr>
            </w:pPr>
            <w:r w:rsidRPr="00BD305E">
              <w:rPr>
                <w:rFonts w:ascii="Arial" w:hAnsi="Arial" w:cs="Arial"/>
              </w:rPr>
              <w:t>Right to rectification</w:t>
            </w:r>
          </w:p>
          <w:p w14:paraId="24CC1875" w14:textId="77777777" w:rsidR="00003771" w:rsidRPr="00BD305E" w:rsidRDefault="00003771" w:rsidP="00E84B5A">
            <w:pPr>
              <w:pStyle w:val="ListParagraph"/>
              <w:numPr>
                <w:ilvl w:val="0"/>
                <w:numId w:val="22"/>
              </w:numPr>
              <w:rPr>
                <w:rFonts w:ascii="Arial" w:hAnsi="Arial" w:cs="Arial"/>
              </w:rPr>
            </w:pPr>
            <w:r w:rsidRPr="00BD305E">
              <w:rPr>
                <w:rFonts w:ascii="Arial" w:hAnsi="Arial" w:cs="Arial"/>
              </w:rPr>
              <w:t>Right to restriction of processing</w:t>
            </w:r>
          </w:p>
          <w:p w14:paraId="44D30DC1" w14:textId="77777777" w:rsidR="00003771" w:rsidRPr="00BD305E" w:rsidRDefault="00003771" w:rsidP="00E84B5A">
            <w:pPr>
              <w:pStyle w:val="ListParagraph"/>
              <w:numPr>
                <w:ilvl w:val="0"/>
                <w:numId w:val="22"/>
              </w:numPr>
              <w:rPr>
                <w:rFonts w:ascii="Arial" w:hAnsi="Arial" w:cs="Arial"/>
              </w:rPr>
            </w:pPr>
            <w:r w:rsidRPr="00BD305E">
              <w:rPr>
                <w:rFonts w:ascii="Arial" w:hAnsi="Arial" w:cs="Arial"/>
              </w:rPr>
              <w:t>Right to notification</w:t>
            </w:r>
          </w:p>
          <w:p w14:paraId="6FC3895D" w14:textId="77777777" w:rsidR="00003771" w:rsidRPr="00BD305E" w:rsidRDefault="00003771" w:rsidP="00E84B5A">
            <w:pPr>
              <w:pStyle w:val="ListParagraph"/>
              <w:numPr>
                <w:ilvl w:val="0"/>
                <w:numId w:val="22"/>
              </w:numPr>
              <w:rPr>
                <w:rFonts w:ascii="Arial" w:hAnsi="Arial" w:cs="Arial"/>
              </w:rPr>
            </w:pPr>
            <w:r w:rsidRPr="00BD305E">
              <w:rPr>
                <w:rFonts w:ascii="Arial" w:hAnsi="Arial" w:cs="Arial"/>
              </w:rPr>
              <w:t>Right not to be subject to automated decision-making (including profiling)</w:t>
            </w:r>
          </w:p>
          <w:p w14:paraId="3B79B656" w14:textId="77777777" w:rsidR="00003771" w:rsidRPr="00BD305E" w:rsidRDefault="00003771" w:rsidP="00E84B5A">
            <w:pPr>
              <w:rPr>
                <w:rFonts w:ascii="Arial" w:hAnsi="Arial" w:cs="Arial"/>
              </w:rPr>
            </w:pPr>
          </w:p>
        </w:tc>
      </w:tr>
      <w:tr w:rsidR="00003771" w:rsidRPr="00BD305E" w14:paraId="773E5117" w14:textId="77777777" w:rsidTr="00474C43">
        <w:tc>
          <w:tcPr>
            <w:tcW w:w="8500" w:type="dxa"/>
            <w:shd w:val="clear" w:color="auto" w:fill="FFFFFF" w:themeFill="background1"/>
          </w:tcPr>
          <w:p w14:paraId="1DBBC26C"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510" w:type="dxa"/>
            <w:shd w:val="clear" w:color="auto" w:fill="FFFFFF" w:themeFill="background1"/>
          </w:tcPr>
          <w:p w14:paraId="471E7A15" w14:textId="77777777" w:rsidR="00003771" w:rsidRPr="00BD305E" w:rsidRDefault="00003771" w:rsidP="00474C43">
            <w:pPr>
              <w:spacing w:before="60" w:after="60"/>
              <w:rPr>
                <w:rFonts w:ascii="Arial" w:hAnsi="Arial" w:cs="Arial"/>
                <w:b/>
                <w:sz w:val="22"/>
                <w:szCs w:val="22"/>
                <w:lang w:eastAsia="en-US"/>
              </w:rPr>
            </w:pPr>
          </w:p>
        </w:tc>
      </w:tr>
    </w:tbl>
    <w:p w14:paraId="2CB9DAEA"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0F77E1CE" w14:textId="77777777" w:rsidTr="00474C43">
        <w:tc>
          <w:tcPr>
            <w:tcW w:w="9010" w:type="dxa"/>
            <w:gridSpan w:val="2"/>
            <w:shd w:val="clear" w:color="auto" w:fill="4472C4" w:themeFill="accent1"/>
          </w:tcPr>
          <w:p w14:paraId="71100AB6"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Subject access requests</w:t>
            </w:r>
          </w:p>
        </w:tc>
      </w:tr>
      <w:tr w:rsidR="00003771" w:rsidRPr="00BD305E" w14:paraId="0296116B" w14:textId="77777777" w:rsidTr="00E84B5A">
        <w:tc>
          <w:tcPr>
            <w:tcW w:w="9010" w:type="dxa"/>
            <w:gridSpan w:val="2"/>
          </w:tcPr>
          <w:p w14:paraId="051E4EB7" w14:textId="77777777" w:rsidR="00003771" w:rsidRPr="00BD305E" w:rsidRDefault="00003771" w:rsidP="00E84B5A">
            <w:pPr>
              <w:rPr>
                <w:rFonts w:ascii="Arial" w:hAnsi="Arial" w:cs="Arial"/>
                <w:sz w:val="22"/>
                <w:szCs w:val="22"/>
              </w:rPr>
            </w:pPr>
            <w:r w:rsidRPr="00BD305E">
              <w:rPr>
                <w:rFonts w:ascii="Arial" w:hAnsi="Arial" w:cs="Arial"/>
                <w:sz w:val="22"/>
                <w:szCs w:val="22"/>
              </w:rPr>
              <w:t>All data subjects have a right to access their data and any supplementary information held. Does the practice policy reflect the UK GDPR and do staff understand:</w:t>
            </w:r>
          </w:p>
          <w:p w14:paraId="76BE82C4" w14:textId="77777777" w:rsidR="00003771" w:rsidRPr="00BD305E" w:rsidRDefault="00003771" w:rsidP="00E84B5A">
            <w:pPr>
              <w:rPr>
                <w:rFonts w:ascii="Arial" w:hAnsi="Arial" w:cs="Arial"/>
                <w:sz w:val="22"/>
                <w:szCs w:val="22"/>
              </w:rPr>
            </w:pPr>
          </w:p>
          <w:p w14:paraId="2248C69E" w14:textId="4D9F5B93" w:rsidR="00003771" w:rsidRPr="00BD305E" w:rsidRDefault="00003771" w:rsidP="00474C43">
            <w:pPr>
              <w:pStyle w:val="ListParagraph"/>
              <w:numPr>
                <w:ilvl w:val="0"/>
                <w:numId w:val="23"/>
              </w:numPr>
              <w:rPr>
                <w:rFonts w:ascii="Arial" w:hAnsi="Arial" w:cs="Arial"/>
              </w:rPr>
            </w:pPr>
            <w:r w:rsidRPr="00BD305E">
              <w:rPr>
                <w:rFonts w:ascii="Arial" w:hAnsi="Arial" w:cs="Arial"/>
              </w:rPr>
              <w:t>There is no fee applicable for SARs</w:t>
            </w:r>
          </w:p>
          <w:p w14:paraId="401E74B5" w14:textId="6E95D067" w:rsidR="00003771" w:rsidRPr="00BD305E" w:rsidRDefault="00003771" w:rsidP="00474C43">
            <w:pPr>
              <w:pStyle w:val="ListParagraph"/>
              <w:numPr>
                <w:ilvl w:val="0"/>
                <w:numId w:val="23"/>
              </w:numPr>
              <w:rPr>
                <w:rFonts w:ascii="Arial" w:hAnsi="Arial" w:cs="Arial"/>
              </w:rPr>
            </w:pPr>
            <w:r w:rsidRPr="00BD305E">
              <w:rPr>
                <w:rFonts w:ascii="Arial" w:hAnsi="Arial" w:cs="Arial"/>
              </w:rPr>
              <w:t>The response time is one calendar month</w:t>
            </w:r>
          </w:p>
          <w:p w14:paraId="4609CEF4" w14:textId="0468FD27" w:rsidR="00003771" w:rsidRPr="00BD305E" w:rsidRDefault="00003771" w:rsidP="00474C43">
            <w:pPr>
              <w:pStyle w:val="ListParagraph"/>
              <w:numPr>
                <w:ilvl w:val="0"/>
                <w:numId w:val="23"/>
              </w:numPr>
              <w:rPr>
                <w:rFonts w:ascii="Arial" w:hAnsi="Arial" w:cs="Arial"/>
              </w:rPr>
            </w:pPr>
            <w:r w:rsidRPr="00BD305E">
              <w:rPr>
                <w:rFonts w:ascii="Arial" w:hAnsi="Arial" w:cs="Arial"/>
              </w:rPr>
              <w:t>Requests can be refused, but must be fully justified</w:t>
            </w:r>
          </w:p>
          <w:p w14:paraId="01553A57" w14:textId="4AC46CDA" w:rsidR="00003771" w:rsidRPr="00BD305E" w:rsidRDefault="00003771" w:rsidP="00E84B5A">
            <w:pPr>
              <w:pStyle w:val="ListParagraph"/>
              <w:numPr>
                <w:ilvl w:val="0"/>
                <w:numId w:val="23"/>
              </w:numPr>
              <w:rPr>
                <w:rFonts w:ascii="Arial" w:hAnsi="Arial" w:cs="Arial"/>
              </w:rPr>
            </w:pPr>
            <w:r w:rsidRPr="00BD305E">
              <w:rPr>
                <w:rFonts w:ascii="Arial" w:hAnsi="Arial" w:cs="Arial"/>
              </w:rPr>
              <w:t>Requests can be received by email</w:t>
            </w:r>
          </w:p>
          <w:p w14:paraId="3DABCAF6" w14:textId="77777777" w:rsidR="00003771" w:rsidRPr="00BD305E" w:rsidRDefault="00003771" w:rsidP="00E84B5A">
            <w:pPr>
              <w:pStyle w:val="ListParagraph"/>
              <w:rPr>
                <w:rFonts w:ascii="Arial" w:hAnsi="Arial" w:cs="Arial"/>
              </w:rPr>
            </w:pPr>
          </w:p>
        </w:tc>
      </w:tr>
      <w:tr w:rsidR="00003771" w:rsidRPr="00BD305E" w14:paraId="7A90ECD2" w14:textId="77777777" w:rsidTr="00474C43">
        <w:tc>
          <w:tcPr>
            <w:tcW w:w="8500" w:type="dxa"/>
            <w:shd w:val="clear" w:color="auto" w:fill="FFFFFF" w:themeFill="background1"/>
          </w:tcPr>
          <w:p w14:paraId="5226F0D7"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lastRenderedPageBreak/>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color w:val="70AD47" w:themeColor="accent6"/>
                <w:sz w:val="22"/>
                <w:szCs w:val="22"/>
                <w:lang w:eastAsia="en-US"/>
              </w:rPr>
              <w:t xml:space="preserve"> </w:t>
            </w:r>
            <w:r w:rsidRPr="00BD305E">
              <w:rPr>
                <w:rFonts w:ascii="Arial" w:hAnsi="Arial" w:cs="Arial"/>
                <w:b/>
                <w:sz w:val="22"/>
                <w:szCs w:val="22"/>
                <w:lang w:eastAsia="en-US"/>
              </w:rPr>
              <w:t xml:space="preserve">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510" w:type="dxa"/>
            <w:shd w:val="clear" w:color="auto" w:fill="FFFFFF" w:themeFill="background1"/>
          </w:tcPr>
          <w:p w14:paraId="3AF24013" w14:textId="77777777" w:rsidR="00003771" w:rsidRPr="00BD305E" w:rsidRDefault="00003771" w:rsidP="00474C43">
            <w:pPr>
              <w:spacing w:before="60" w:after="60"/>
              <w:rPr>
                <w:rFonts w:ascii="Arial" w:hAnsi="Arial" w:cs="Arial"/>
                <w:b/>
                <w:sz w:val="22"/>
                <w:szCs w:val="22"/>
                <w:lang w:eastAsia="en-US"/>
              </w:rPr>
            </w:pPr>
          </w:p>
        </w:tc>
      </w:tr>
    </w:tbl>
    <w:p w14:paraId="5DA4B2F2" w14:textId="1271E534" w:rsidR="00003771" w:rsidRPr="00BD305E" w:rsidRDefault="00003771" w:rsidP="00003771">
      <w:pPr>
        <w:rPr>
          <w:rFonts w:ascii="Arial" w:hAnsi="Arial" w:cs="Arial"/>
          <w:sz w:val="22"/>
          <w:szCs w:val="22"/>
          <w:lang w:eastAsia="en-US"/>
        </w:rPr>
      </w:pPr>
    </w:p>
    <w:p w14:paraId="3672B5F6" w14:textId="69BB6F70" w:rsidR="00003771" w:rsidRPr="00BD305E" w:rsidRDefault="00003771" w:rsidP="00003771">
      <w:pPr>
        <w:rPr>
          <w:rFonts w:ascii="Arial" w:hAnsi="Arial" w:cs="Arial"/>
          <w:sz w:val="22"/>
          <w:szCs w:val="22"/>
          <w:lang w:eastAsia="en-US"/>
        </w:rPr>
      </w:pPr>
    </w:p>
    <w:p w14:paraId="56AF0A0E" w14:textId="77777777" w:rsidR="00003771" w:rsidRPr="00BD305E" w:rsidRDefault="00003771" w:rsidP="00003771">
      <w:pPr>
        <w:rPr>
          <w:rFonts w:ascii="Arial" w:hAnsi="Arial" w:cs="Arial"/>
          <w:sz w:val="22"/>
          <w:szCs w:val="22"/>
          <w:lang w:eastAsia="en-US"/>
        </w:rPr>
      </w:pPr>
    </w:p>
    <w:p w14:paraId="6BB8E18D"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792787E9" w14:textId="77777777" w:rsidTr="00003771">
        <w:tc>
          <w:tcPr>
            <w:tcW w:w="9010" w:type="dxa"/>
            <w:gridSpan w:val="2"/>
            <w:shd w:val="clear" w:color="auto" w:fill="4472C4" w:themeFill="accent1"/>
          </w:tcPr>
          <w:p w14:paraId="2EB1E193"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Processing personal data</w:t>
            </w:r>
          </w:p>
        </w:tc>
      </w:tr>
      <w:tr w:rsidR="00003771" w:rsidRPr="00BD305E" w14:paraId="55A4D94B" w14:textId="77777777" w:rsidTr="00E84B5A">
        <w:tc>
          <w:tcPr>
            <w:tcW w:w="9010" w:type="dxa"/>
            <w:gridSpan w:val="2"/>
          </w:tcPr>
          <w:p w14:paraId="7C95E8BB" w14:textId="152E73EC" w:rsidR="00003771" w:rsidRPr="00BD305E" w:rsidRDefault="00003771" w:rsidP="00E84B5A">
            <w:pPr>
              <w:rPr>
                <w:rFonts w:ascii="Arial" w:hAnsi="Arial" w:cs="Arial"/>
                <w:sz w:val="22"/>
                <w:szCs w:val="22"/>
              </w:rPr>
            </w:pPr>
            <w:r w:rsidRPr="00BD305E">
              <w:rPr>
                <w:rFonts w:ascii="Arial" w:hAnsi="Arial" w:cs="Arial"/>
                <w:sz w:val="22"/>
                <w:szCs w:val="22"/>
              </w:rPr>
              <w:t xml:space="preserve">Do data processors within the </w:t>
            </w:r>
            <w:r w:rsidR="0013257C">
              <w:rPr>
                <w:rFonts w:ascii="Arial" w:hAnsi="Arial" w:cs="Arial"/>
                <w:sz w:val="22"/>
                <w:szCs w:val="22"/>
              </w:rPr>
              <w:t>organisation</w:t>
            </w:r>
            <w:r w:rsidRPr="00BD305E">
              <w:rPr>
                <w:rFonts w:ascii="Arial" w:hAnsi="Arial" w:cs="Arial"/>
                <w:sz w:val="22"/>
                <w:szCs w:val="22"/>
              </w:rPr>
              <w:t xml:space="preserve"> understand that they are responsible for the processing of data on behalf of the data controller? Do all processors know that one of the following must apply</w:t>
            </w:r>
            <w:r w:rsidR="00010796" w:rsidRPr="00BD305E">
              <w:rPr>
                <w:rFonts w:ascii="Arial" w:hAnsi="Arial" w:cs="Arial"/>
                <w:sz w:val="22"/>
                <w:szCs w:val="22"/>
              </w:rPr>
              <w:t>?</w:t>
            </w:r>
          </w:p>
          <w:p w14:paraId="1E0E4E23" w14:textId="77777777" w:rsidR="00003771" w:rsidRPr="00BD305E" w:rsidRDefault="00003771" w:rsidP="00E84B5A">
            <w:pPr>
              <w:rPr>
                <w:rFonts w:ascii="Arial" w:hAnsi="Arial" w:cs="Arial"/>
                <w:sz w:val="22"/>
                <w:szCs w:val="22"/>
              </w:rPr>
            </w:pPr>
          </w:p>
          <w:p w14:paraId="25D86677" w14:textId="77777777" w:rsidR="00003771" w:rsidRPr="00BD305E" w:rsidRDefault="00003771" w:rsidP="00E84B5A">
            <w:pPr>
              <w:pStyle w:val="ListParagraph"/>
              <w:numPr>
                <w:ilvl w:val="0"/>
                <w:numId w:val="4"/>
              </w:numPr>
              <w:rPr>
                <w:rFonts w:ascii="Arial" w:eastAsia="Times New Roman" w:hAnsi="Arial" w:cs="Arial"/>
                <w:sz w:val="24"/>
                <w:szCs w:val="24"/>
              </w:rPr>
            </w:pPr>
            <w:r w:rsidRPr="00BD305E">
              <w:rPr>
                <w:rFonts w:ascii="Arial" w:hAnsi="Arial" w:cs="Arial"/>
                <w:shd w:val="clear" w:color="auto" w:fill="FFFFFF"/>
              </w:rPr>
              <w:t>The data subject has given consent to the processing of his/her personal data for one or more specific purposes</w:t>
            </w:r>
          </w:p>
          <w:p w14:paraId="79DF9D39" w14:textId="77777777" w:rsidR="00003771" w:rsidRPr="00BD305E" w:rsidRDefault="00003771" w:rsidP="00E84B5A">
            <w:pPr>
              <w:pStyle w:val="ListParagraph"/>
              <w:rPr>
                <w:rFonts w:ascii="Arial" w:eastAsia="Times New Roman" w:hAnsi="Arial" w:cs="Arial"/>
                <w:sz w:val="24"/>
                <w:szCs w:val="24"/>
              </w:rPr>
            </w:pPr>
          </w:p>
          <w:p w14:paraId="129F842D" w14:textId="77777777" w:rsidR="00003771" w:rsidRPr="00BD305E" w:rsidRDefault="00003771" w:rsidP="00E84B5A">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for the performance of a contract to which the data subject is party, or in order to take steps at the request of the data subject prior to entering into a contract</w:t>
            </w:r>
          </w:p>
          <w:p w14:paraId="0C9E7E8E" w14:textId="77777777" w:rsidR="00003771" w:rsidRPr="00BD305E" w:rsidRDefault="00003771" w:rsidP="00E84B5A">
            <w:pPr>
              <w:rPr>
                <w:rFonts w:ascii="Arial" w:hAnsi="Arial" w:cs="Arial"/>
              </w:rPr>
            </w:pPr>
          </w:p>
          <w:p w14:paraId="3769B6A6" w14:textId="77777777" w:rsidR="00003771" w:rsidRPr="00BD305E" w:rsidRDefault="00003771" w:rsidP="00E84B5A">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for compliance with a legal obligation to which the controller is subject</w:t>
            </w:r>
          </w:p>
          <w:p w14:paraId="6D90C675" w14:textId="77777777" w:rsidR="00003771" w:rsidRPr="00BD305E" w:rsidRDefault="00003771" w:rsidP="00E84B5A">
            <w:pPr>
              <w:rPr>
                <w:rFonts w:ascii="Arial" w:hAnsi="Arial" w:cs="Arial"/>
              </w:rPr>
            </w:pPr>
          </w:p>
          <w:p w14:paraId="661A73A2" w14:textId="77777777" w:rsidR="00003771" w:rsidRPr="00BD305E" w:rsidRDefault="00003771" w:rsidP="00E84B5A">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in order to protect the vital interests of the data subject or another natural person</w:t>
            </w:r>
          </w:p>
          <w:p w14:paraId="1FD2F4E1" w14:textId="77777777" w:rsidR="00003771" w:rsidRPr="00BD305E" w:rsidRDefault="00003771" w:rsidP="00E84B5A">
            <w:pPr>
              <w:rPr>
                <w:rFonts w:ascii="Arial" w:hAnsi="Arial" w:cs="Arial"/>
              </w:rPr>
            </w:pPr>
          </w:p>
          <w:p w14:paraId="7B092C35" w14:textId="77777777" w:rsidR="00003771" w:rsidRPr="00BD305E" w:rsidRDefault="00003771" w:rsidP="00E84B5A">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for the performance of a task carried out in the public interest or in the exercise of official authority vested in the data controller</w:t>
            </w:r>
          </w:p>
          <w:p w14:paraId="29F1F09B" w14:textId="77777777" w:rsidR="00003771" w:rsidRPr="00BD305E" w:rsidRDefault="00003771" w:rsidP="00E84B5A">
            <w:pPr>
              <w:rPr>
                <w:rFonts w:ascii="Arial" w:hAnsi="Arial" w:cs="Arial"/>
              </w:rPr>
            </w:pPr>
          </w:p>
          <w:p w14:paraId="41A82DD2" w14:textId="77777777" w:rsidR="00003771" w:rsidRPr="00BD305E" w:rsidRDefault="00003771" w:rsidP="00E84B5A">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for the purposes of the legitimate interests pursued by the data controller or by a third party, except where such interests are overridden by the interests or fundamental rights and freedoms of the data subject which require protection of personal data, in particular where the data subject is a child</w:t>
            </w:r>
          </w:p>
          <w:p w14:paraId="6BF29E03" w14:textId="77777777" w:rsidR="00003771" w:rsidRPr="00BD305E" w:rsidRDefault="00003771" w:rsidP="00E84B5A">
            <w:pPr>
              <w:pStyle w:val="ListParagraph"/>
              <w:rPr>
                <w:rFonts w:ascii="Arial" w:hAnsi="Arial" w:cs="Arial"/>
              </w:rPr>
            </w:pPr>
          </w:p>
        </w:tc>
      </w:tr>
      <w:tr w:rsidR="00003771" w:rsidRPr="00BD305E" w14:paraId="573F7BF4" w14:textId="77777777" w:rsidTr="00474C43">
        <w:tc>
          <w:tcPr>
            <w:tcW w:w="8500" w:type="dxa"/>
            <w:shd w:val="clear" w:color="auto" w:fill="FFFFFF" w:themeFill="background1"/>
          </w:tcPr>
          <w:p w14:paraId="3030E3FF"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510" w:type="dxa"/>
            <w:shd w:val="clear" w:color="auto" w:fill="FFFFFF" w:themeFill="background1"/>
          </w:tcPr>
          <w:p w14:paraId="5EA767A1" w14:textId="77777777" w:rsidR="00003771" w:rsidRPr="00BD305E" w:rsidRDefault="00003771" w:rsidP="00474C43">
            <w:pPr>
              <w:spacing w:before="60" w:after="60"/>
              <w:rPr>
                <w:rFonts w:ascii="Arial" w:hAnsi="Arial" w:cs="Arial"/>
                <w:sz w:val="22"/>
                <w:szCs w:val="22"/>
                <w:lang w:eastAsia="en-US"/>
              </w:rPr>
            </w:pPr>
          </w:p>
        </w:tc>
      </w:tr>
    </w:tbl>
    <w:p w14:paraId="39833222"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69D67379" w14:textId="77777777" w:rsidTr="0013257C">
        <w:tc>
          <w:tcPr>
            <w:tcW w:w="8290" w:type="dxa"/>
            <w:gridSpan w:val="2"/>
            <w:shd w:val="clear" w:color="auto" w:fill="4472C4" w:themeFill="accent1"/>
          </w:tcPr>
          <w:p w14:paraId="79270ACE"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Consent</w:t>
            </w:r>
          </w:p>
        </w:tc>
      </w:tr>
      <w:tr w:rsidR="00003771" w:rsidRPr="00BD305E" w14:paraId="2C098D22" w14:textId="77777777" w:rsidTr="0013257C">
        <w:tc>
          <w:tcPr>
            <w:tcW w:w="8290" w:type="dxa"/>
            <w:gridSpan w:val="2"/>
          </w:tcPr>
          <w:p w14:paraId="6318E5DC" w14:textId="77777777" w:rsidR="00003771" w:rsidRPr="00BD305E" w:rsidRDefault="00003771" w:rsidP="00E84B5A">
            <w:pPr>
              <w:pStyle w:val="ListParagraph"/>
              <w:numPr>
                <w:ilvl w:val="0"/>
                <w:numId w:val="24"/>
              </w:numPr>
              <w:rPr>
                <w:rFonts w:ascii="Arial" w:hAnsi="Arial" w:cs="Arial"/>
              </w:rPr>
            </w:pPr>
            <w:r w:rsidRPr="00BD305E">
              <w:rPr>
                <w:rFonts w:ascii="Arial" w:hAnsi="Arial" w:cs="Arial"/>
              </w:rPr>
              <w:t>Do current processes for obtaining consent reflect the UK GDPR?</w:t>
            </w:r>
          </w:p>
          <w:p w14:paraId="4D372142" w14:textId="77777777" w:rsidR="00003771" w:rsidRPr="00BD305E" w:rsidRDefault="00003771" w:rsidP="00E84B5A">
            <w:pPr>
              <w:pStyle w:val="ListParagraph"/>
              <w:rPr>
                <w:rFonts w:ascii="Arial" w:hAnsi="Arial" w:cs="Arial"/>
              </w:rPr>
            </w:pPr>
          </w:p>
          <w:p w14:paraId="5703AFE0" w14:textId="77777777" w:rsidR="00003771" w:rsidRPr="00BD305E" w:rsidRDefault="00003771" w:rsidP="00E84B5A">
            <w:pPr>
              <w:pStyle w:val="ListParagraph"/>
              <w:numPr>
                <w:ilvl w:val="0"/>
                <w:numId w:val="24"/>
              </w:numPr>
              <w:rPr>
                <w:rFonts w:ascii="Arial" w:hAnsi="Arial" w:cs="Arial"/>
              </w:rPr>
            </w:pPr>
            <w:r w:rsidRPr="00BD305E">
              <w:rPr>
                <w:rFonts w:ascii="Arial" w:hAnsi="Arial" w:cs="Arial"/>
              </w:rPr>
              <w:t>Do staff know that they must explain to data subjects:</w:t>
            </w:r>
          </w:p>
          <w:p w14:paraId="437F087B" w14:textId="77777777" w:rsidR="00003771" w:rsidRPr="00BD305E" w:rsidRDefault="00003771" w:rsidP="00E84B5A">
            <w:pPr>
              <w:rPr>
                <w:rFonts w:ascii="Arial" w:hAnsi="Arial" w:cs="Arial"/>
              </w:rPr>
            </w:pPr>
          </w:p>
          <w:p w14:paraId="7B7523EE" w14:textId="77777777" w:rsidR="00003771" w:rsidRPr="00BD305E" w:rsidRDefault="00003771" w:rsidP="00E84B5A">
            <w:pPr>
              <w:pStyle w:val="ListParagraph"/>
              <w:numPr>
                <w:ilvl w:val="0"/>
                <w:numId w:val="24"/>
              </w:numPr>
              <w:ind w:left="1026"/>
              <w:rPr>
                <w:rFonts w:ascii="Arial" w:hAnsi="Arial" w:cs="Arial"/>
              </w:rPr>
            </w:pPr>
            <w:r w:rsidRPr="00BD305E">
              <w:rPr>
                <w:rFonts w:ascii="Arial" w:hAnsi="Arial" w:cs="Arial"/>
              </w:rPr>
              <w:t>Why the organisation wants the data</w:t>
            </w:r>
          </w:p>
          <w:p w14:paraId="57F06C14" w14:textId="77777777" w:rsidR="00003771" w:rsidRPr="00BD305E" w:rsidRDefault="00003771" w:rsidP="00E84B5A">
            <w:pPr>
              <w:pStyle w:val="ListParagraph"/>
              <w:numPr>
                <w:ilvl w:val="0"/>
                <w:numId w:val="24"/>
              </w:numPr>
              <w:ind w:left="1026"/>
              <w:rPr>
                <w:rFonts w:ascii="Arial" w:hAnsi="Arial" w:cs="Arial"/>
              </w:rPr>
            </w:pPr>
            <w:r w:rsidRPr="00BD305E">
              <w:rPr>
                <w:rFonts w:ascii="Arial" w:hAnsi="Arial" w:cs="Arial"/>
              </w:rPr>
              <w:t>How the data will be used by the organisation</w:t>
            </w:r>
          </w:p>
          <w:p w14:paraId="3D6F169B" w14:textId="77777777" w:rsidR="00003771" w:rsidRPr="00BD305E" w:rsidRDefault="00003771" w:rsidP="00E84B5A">
            <w:pPr>
              <w:pStyle w:val="ListParagraph"/>
              <w:numPr>
                <w:ilvl w:val="0"/>
                <w:numId w:val="24"/>
              </w:numPr>
              <w:ind w:left="1026"/>
              <w:rPr>
                <w:rFonts w:ascii="Arial" w:hAnsi="Arial" w:cs="Arial"/>
              </w:rPr>
            </w:pPr>
            <w:r w:rsidRPr="00BD305E">
              <w:rPr>
                <w:rFonts w:ascii="Arial" w:hAnsi="Arial" w:cs="Arial"/>
              </w:rPr>
              <w:t>The names of any third party data controllers with whom the data will be shared</w:t>
            </w:r>
          </w:p>
          <w:p w14:paraId="69C2FBE4" w14:textId="77777777" w:rsidR="00003771" w:rsidRPr="00BD305E" w:rsidRDefault="00003771" w:rsidP="00E84B5A">
            <w:pPr>
              <w:pStyle w:val="ListParagraph"/>
              <w:numPr>
                <w:ilvl w:val="0"/>
                <w:numId w:val="24"/>
              </w:numPr>
              <w:ind w:left="1026"/>
              <w:rPr>
                <w:rFonts w:ascii="Arial" w:hAnsi="Arial" w:cs="Arial"/>
              </w:rPr>
            </w:pPr>
            <w:r w:rsidRPr="00BD305E">
              <w:rPr>
                <w:rFonts w:ascii="Arial" w:hAnsi="Arial" w:cs="Arial"/>
              </w:rPr>
              <w:lastRenderedPageBreak/>
              <w:t>Their right to withdraw consent at any time</w:t>
            </w:r>
          </w:p>
          <w:p w14:paraId="784653E2" w14:textId="77777777" w:rsidR="00003771" w:rsidRPr="00BD305E" w:rsidRDefault="00003771" w:rsidP="00E84B5A">
            <w:pPr>
              <w:pStyle w:val="ListParagraph"/>
              <w:ind w:left="1026"/>
              <w:rPr>
                <w:rFonts w:ascii="Arial" w:hAnsi="Arial" w:cs="Arial"/>
              </w:rPr>
            </w:pPr>
          </w:p>
          <w:p w14:paraId="3D0D012F" w14:textId="3221DB5C" w:rsidR="00003771" w:rsidRPr="00BD305E" w:rsidRDefault="00003771" w:rsidP="00E84B5A">
            <w:pPr>
              <w:pStyle w:val="ListParagraph"/>
              <w:numPr>
                <w:ilvl w:val="0"/>
                <w:numId w:val="24"/>
              </w:numPr>
              <w:rPr>
                <w:rFonts w:ascii="Arial" w:hAnsi="Arial" w:cs="Arial"/>
              </w:rPr>
            </w:pPr>
            <w:r w:rsidRPr="00BD305E">
              <w:rPr>
                <w:rFonts w:ascii="Arial" w:hAnsi="Arial" w:cs="Arial"/>
              </w:rPr>
              <w:t>Are staff aware that the Data Protection Act (DPA18) state</w:t>
            </w:r>
            <w:r w:rsidR="0013257C">
              <w:rPr>
                <w:rFonts w:ascii="Arial" w:hAnsi="Arial" w:cs="Arial"/>
              </w:rPr>
              <w:t>s</w:t>
            </w:r>
            <w:r w:rsidRPr="00BD305E">
              <w:rPr>
                <w:rFonts w:ascii="Arial" w:hAnsi="Arial" w:cs="Arial"/>
              </w:rPr>
              <w:t xml:space="preserve"> that parental consent is required for a child under the age of 13; Gillick competence remains unaffected</w:t>
            </w:r>
          </w:p>
          <w:p w14:paraId="36F33A1F" w14:textId="77777777" w:rsidR="00003771" w:rsidRPr="00BD305E" w:rsidRDefault="00003771" w:rsidP="00E84B5A">
            <w:pPr>
              <w:pStyle w:val="ListParagraph"/>
              <w:rPr>
                <w:rFonts w:ascii="Arial" w:hAnsi="Arial" w:cs="Arial"/>
              </w:rPr>
            </w:pPr>
          </w:p>
        </w:tc>
      </w:tr>
      <w:tr w:rsidR="00003771" w:rsidRPr="00BD305E" w14:paraId="4D5AC65C" w14:textId="77777777" w:rsidTr="0013257C">
        <w:tc>
          <w:tcPr>
            <w:tcW w:w="7807" w:type="dxa"/>
            <w:shd w:val="clear" w:color="auto" w:fill="FFFFFF" w:themeFill="background1"/>
          </w:tcPr>
          <w:p w14:paraId="05780AFA"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lastRenderedPageBreak/>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483" w:type="dxa"/>
            <w:shd w:val="clear" w:color="auto" w:fill="FFFFFF" w:themeFill="background1"/>
          </w:tcPr>
          <w:p w14:paraId="6949C015" w14:textId="77777777" w:rsidR="00003771" w:rsidRPr="00BD305E" w:rsidRDefault="00003771" w:rsidP="00474C43">
            <w:pPr>
              <w:spacing w:before="60" w:after="60"/>
              <w:rPr>
                <w:rFonts w:ascii="Arial" w:hAnsi="Arial" w:cs="Arial"/>
                <w:sz w:val="22"/>
                <w:szCs w:val="22"/>
                <w:lang w:eastAsia="en-US"/>
              </w:rPr>
            </w:pPr>
          </w:p>
        </w:tc>
      </w:tr>
    </w:tbl>
    <w:p w14:paraId="57E91BDB" w14:textId="77777777" w:rsidR="0013257C" w:rsidRDefault="0013257C"/>
    <w:tbl>
      <w:tblPr>
        <w:tblStyle w:val="TableGrid"/>
        <w:tblW w:w="0" w:type="auto"/>
        <w:tblLook w:val="04A0" w:firstRow="1" w:lastRow="0" w:firstColumn="1" w:lastColumn="0" w:noHBand="0" w:noVBand="1"/>
      </w:tblPr>
      <w:tblGrid>
        <w:gridCol w:w="7807"/>
        <w:gridCol w:w="483"/>
      </w:tblGrid>
      <w:tr w:rsidR="00003771" w:rsidRPr="00BD305E" w14:paraId="3F4B627E" w14:textId="77777777" w:rsidTr="0013257C">
        <w:tc>
          <w:tcPr>
            <w:tcW w:w="8290" w:type="dxa"/>
            <w:gridSpan w:val="2"/>
            <w:shd w:val="clear" w:color="auto" w:fill="4472C4" w:themeFill="accent1"/>
          </w:tcPr>
          <w:p w14:paraId="17414D9E"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Data breaches</w:t>
            </w:r>
          </w:p>
        </w:tc>
      </w:tr>
      <w:tr w:rsidR="00003771" w:rsidRPr="00BD305E" w14:paraId="5CD957A2" w14:textId="77777777" w:rsidTr="0013257C">
        <w:tc>
          <w:tcPr>
            <w:tcW w:w="8290" w:type="dxa"/>
            <w:gridSpan w:val="2"/>
          </w:tcPr>
          <w:p w14:paraId="4A0E492D" w14:textId="77777777" w:rsidR="00003771" w:rsidRPr="00BD305E" w:rsidRDefault="00003771" w:rsidP="00E84B5A">
            <w:pPr>
              <w:rPr>
                <w:rFonts w:ascii="Arial" w:hAnsi="Arial" w:cs="Arial"/>
                <w:sz w:val="22"/>
                <w:szCs w:val="22"/>
              </w:rPr>
            </w:pPr>
            <w:r w:rsidRPr="00BD305E">
              <w:rPr>
                <w:rFonts w:ascii="Arial" w:hAnsi="Arial" w:cs="Arial"/>
                <w:sz w:val="22"/>
                <w:szCs w:val="22"/>
              </w:rPr>
              <w:t>What are the current procedures to detect and report data breaches?</w:t>
            </w:r>
          </w:p>
          <w:p w14:paraId="211A0F2D" w14:textId="77777777" w:rsidR="00003771" w:rsidRPr="00BD305E" w:rsidRDefault="00003771" w:rsidP="00E84B5A">
            <w:pPr>
              <w:rPr>
                <w:rFonts w:ascii="Arial" w:hAnsi="Arial" w:cs="Arial"/>
                <w:sz w:val="22"/>
                <w:szCs w:val="22"/>
              </w:rPr>
            </w:pPr>
          </w:p>
          <w:p w14:paraId="44428E02" w14:textId="4328FBB7" w:rsidR="00003771" w:rsidRPr="00BD305E" w:rsidRDefault="00003771" w:rsidP="00474C43">
            <w:pPr>
              <w:pStyle w:val="ListParagraph"/>
              <w:numPr>
                <w:ilvl w:val="0"/>
                <w:numId w:val="24"/>
              </w:numPr>
              <w:rPr>
                <w:rFonts w:ascii="Arial" w:hAnsi="Arial" w:cs="Arial"/>
              </w:rPr>
            </w:pPr>
            <w:r w:rsidRPr="00BD305E">
              <w:rPr>
                <w:rFonts w:ascii="Arial" w:hAnsi="Arial" w:cs="Arial"/>
              </w:rPr>
              <w:t>Do staff know what a data breach is?</w:t>
            </w:r>
          </w:p>
          <w:p w14:paraId="0EECE0A1" w14:textId="7BBF8188" w:rsidR="00003771" w:rsidRPr="00BD305E" w:rsidRDefault="00003771" w:rsidP="00474C43">
            <w:pPr>
              <w:pStyle w:val="ListParagraph"/>
              <w:numPr>
                <w:ilvl w:val="0"/>
                <w:numId w:val="24"/>
              </w:numPr>
              <w:rPr>
                <w:rFonts w:ascii="Arial" w:hAnsi="Arial" w:cs="Arial"/>
              </w:rPr>
            </w:pPr>
            <w:r w:rsidRPr="00BD305E">
              <w:rPr>
                <w:rFonts w:ascii="Arial" w:hAnsi="Arial" w:cs="Arial"/>
              </w:rPr>
              <w:t>What is the reporting process?</w:t>
            </w:r>
          </w:p>
          <w:p w14:paraId="27772575" w14:textId="24DE8CAF" w:rsidR="00003771" w:rsidRPr="00BD305E" w:rsidRDefault="00003771" w:rsidP="00474C43">
            <w:pPr>
              <w:pStyle w:val="ListParagraph"/>
              <w:numPr>
                <w:ilvl w:val="0"/>
                <w:numId w:val="24"/>
              </w:numPr>
              <w:rPr>
                <w:rFonts w:ascii="Arial" w:hAnsi="Arial" w:cs="Arial"/>
              </w:rPr>
            </w:pPr>
            <w:r w:rsidRPr="00BD305E">
              <w:rPr>
                <w:rFonts w:ascii="Arial" w:hAnsi="Arial" w:cs="Arial"/>
              </w:rPr>
              <w:t>Is there a process to notify data subjects of a breach affecting them</w:t>
            </w:r>
            <w:r w:rsidR="0013257C">
              <w:rPr>
                <w:rFonts w:ascii="Arial" w:hAnsi="Arial" w:cs="Arial"/>
              </w:rPr>
              <w:t>?</w:t>
            </w:r>
          </w:p>
          <w:p w14:paraId="02B8493C" w14:textId="1A719A47" w:rsidR="00003771" w:rsidRPr="00BD305E" w:rsidRDefault="00003771" w:rsidP="00474C43">
            <w:pPr>
              <w:pStyle w:val="ListParagraph"/>
              <w:numPr>
                <w:ilvl w:val="0"/>
                <w:numId w:val="24"/>
              </w:numPr>
              <w:rPr>
                <w:rFonts w:ascii="Arial" w:hAnsi="Arial" w:cs="Arial"/>
              </w:rPr>
            </w:pPr>
            <w:r w:rsidRPr="00BD305E">
              <w:rPr>
                <w:rFonts w:ascii="Arial" w:hAnsi="Arial" w:cs="Arial"/>
              </w:rPr>
              <w:t>How are data breaches recorded; who is responsible for this?</w:t>
            </w:r>
          </w:p>
          <w:p w14:paraId="72DE3885" w14:textId="77777777" w:rsidR="00003771" w:rsidRPr="00BD305E" w:rsidRDefault="00003771" w:rsidP="00E84B5A">
            <w:pPr>
              <w:pStyle w:val="ListParagraph"/>
              <w:numPr>
                <w:ilvl w:val="0"/>
                <w:numId w:val="24"/>
              </w:numPr>
              <w:rPr>
                <w:rFonts w:ascii="Arial" w:hAnsi="Arial" w:cs="Arial"/>
              </w:rPr>
            </w:pPr>
            <w:r w:rsidRPr="00BD305E">
              <w:rPr>
                <w:rFonts w:ascii="Arial" w:hAnsi="Arial" w:cs="Arial"/>
              </w:rPr>
              <w:t>Does the practice policy include data breaches and responsibilities?</w:t>
            </w:r>
          </w:p>
          <w:p w14:paraId="522B2939" w14:textId="77777777" w:rsidR="00003771" w:rsidRPr="00BD305E" w:rsidRDefault="00003771" w:rsidP="00E84B5A">
            <w:pPr>
              <w:pStyle w:val="ListParagraph"/>
              <w:rPr>
                <w:rFonts w:ascii="Arial" w:hAnsi="Arial" w:cs="Arial"/>
              </w:rPr>
            </w:pPr>
          </w:p>
        </w:tc>
      </w:tr>
      <w:tr w:rsidR="00003771" w:rsidRPr="00BD305E" w14:paraId="024FF175" w14:textId="77777777" w:rsidTr="0013257C">
        <w:tc>
          <w:tcPr>
            <w:tcW w:w="7807" w:type="dxa"/>
            <w:shd w:val="clear" w:color="auto" w:fill="FFFFFF" w:themeFill="background1"/>
          </w:tcPr>
          <w:p w14:paraId="1903B938"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483" w:type="dxa"/>
            <w:shd w:val="clear" w:color="auto" w:fill="FFFFFF" w:themeFill="background1"/>
          </w:tcPr>
          <w:p w14:paraId="3EE56B3E" w14:textId="77777777" w:rsidR="00003771" w:rsidRPr="00BD305E" w:rsidRDefault="00003771" w:rsidP="00474C43">
            <w:pPr>
              <w:spacing w:before="60" w:after="60"/>
              <w:rPr>
                <w:rFonts w:ascii="Arial" w:hAnsi="Arial" w:cs="Arial"/>
                <w:sz w:val="22"/>
                <w:szCs w:val="22"/>
                <w:lang w:eastAsia="en-US"/>
              </w:rPr>
            </w:pPr>
          </w:p>
        </w:tc>
      </w:tr>
    </w:tbl>
    <w:p w14:paraId="27AA3290" w14:textId="77777777" w:rsidR="00003771" w:rsidRPr="00BD305E" w:rsidRDefault="00003771" w:rsidP="00003771">
      <w:pPr>
        <w:autoSpaceDE w:val="0"/>
        <w:autoSpaceDN w:val="0"/>
        <w:adjustRightInd w:val="0"/>
        <w:spacing w:after="200"/>
        <w:rPr>
          <w:rFonts w:ascii="ArialMT" w:hAnsi="ArialMT" w:cs="ArialMT"/>
        </w:rPr>
      </w:pPr>
    </w:p>
    <w:p w14:paraId="2C5CE2E0" w14:textId="77777777" w:rsidR="00003771" w:rsidRPr="00BD305E" w:rsidRDefault="00003771" w:rsidP="00003771">
      <w:pPr>
        <w:autoSpaceDE w:val="0"/>
        <w:autoSpaceDN w:val="0"/>
        <w:adjustRightInd w:val="0"/>
        <w:spacing w:after="200"/>
        <w:rPr>
          <w:rFonts w:ascii="ArialMT" w:hAnsi="ArialMT" w:cs="ArialMT"/>
        </w:rPr>
      </w:pPr>
    </w:p>
    <w:p w14:paraId="63BB2ABD" w14:textId="77777777" w:rsidR="00003771" w:rsidRPr="00BD305E" w:rsidRDefault="00003771" w:rsidP="00003771">
      <w:pPr>
        <w:autoSpaceDE w:val="0"/>
        <w:autoSpaceDN w:val="0"/>
        <w:adjustRightInd w:val="0"/>
        <w:spacing w:after="200"/>
        <w:rPr>
          <w:rFonts w:ascii="ArialMT" w:hAnsi="ArialMT" w:cs="ArialMT"/>
        </w:rPr>
      </w:pPr>
    </w:p>
    <w:bookmarkEnd w:id="129"/>
    <w:p w14:paraId="69AF74DC" w14:textId="77777777" w:rsidR="00003771" w:rsidRPr="00BD305E" w:rsidRDefault="00003771" w:rsidP="00003771">
      <w:pPr>
        <w:autoSpaceDE w:val="0"/>
        <w:autoSpaceDN w:val="0"/>
        <w:adjustRightInd w:val="0"/>
        <w:spacing w:after="200"/>
        <w:rPr>
          <w:rFonts w:ascii="ArialMT" w:hAnsi="ArialMT" w:cs="ArialMT"/>
        </w:rPr>
      </w:pPr>
    </w:p>
    <w:sectPr w:rsidR="00003771" w:rsidRPr="00BD305E" w:rsidSect="00B31B15">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95261" w14:textId="77777777" w:rsidR="00971A51" w:rsidRDefault="00971A51" w:rsidP="00D85E4D">
      <w:r>
        <w:separator/>
      </w:r>
    </w:p>
  </w:endnote>
  <w:endnote w:type="continuationSeparator" w:id="0">
    <w:p w14:paraId="20FCCDB1" w14:textId="77777777" w:rsidR="00971A51" w:rsidRDefault="00971A51"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C35A" w14:textId="77777777" w:rsidR="00E84B5A" w:rsidRDefault="00E84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E839" w14:textId="7FB0AA82" w:rsidR="00E84B5A" w:rsidRDefault="00E84B5A">
    <w:pPr>
      <w:pStyle w:val="Footer"/>
      <w:pBdr>
        <w:top w:val="single" w:sz="4" w:space="1" w:color="D9D9D9" w:themeColor="background1" w:themeShade="D9"/>
      </w:pBdr>
      <w:jc w:val="right"/>
    </w:pPr>
  </w:p>
  <w:p w14:paraId="143EDBEE" w14:textId="0CD57EFD" w:rsidR="00E84B5A" w:rsidRDefault="00E84B5A" w:rsidP="003E72F8">
    <w:pPr>
      <w:pStyle w:val="Footer"/>
      <w:rPr>
        <w:rFonts w:ascii="Arial" w:hAnsi="Arial" w:cs="Arial"/>
        <w:sz w:val="16"/>
        <w:szCs w:val="16"/>
      </w:rPr>
    </w:pPr>
    <w:r>
      <w:rPr>
        <w:rFonts w:ascii="Arial" w:hAnsi="Arial" w:cs="Arial"/>
        <w:sz w:val="16"/>
        <w:szCs w:val="16"/>
      </w:rPr>
      <w:tab/>
    </w:r>
  </w:p>
  <w:p w14:paraId="54A9CDA4" w14:textId="42F7A928" w:rsidR="00E84B5A" w:rsidRPr="00A721EE" w:rsidRDefault="00E84B5A"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CF15E1">
      <w:rPr>
        <w:rFonts w:ascii="Arial" w:hAnsi="Arial" w:cs="Arial"/>
        <w:noProof/>
      </w:rPr>
      <w:t>18</w:t>
    </w:r>
    <w:r w:rsidRPr="00A721EE">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B17E2" w14:textId="77777777" w:rsidR="00E84B5A" w:rsidRDefault="00E84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8C50A" w14:textId="77777777" w:rsidR="00971A51" w:rsidRDefault="00971A51" w:rsidP="00D85E4D">
      <w:r>
        <w:separator/>
      </w:r>
    </w:p>
  </w:footnote>
  <w:footnote w:type="continuationSeparator" w:id="0">
    <w:p w14:paraId="49DDE62A" w14:textId="77777777" w:rsidR="00971A51" w:rsidRDefault="00971A51"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686A4" w14:textId="77777777" w:rsidR="00E84B5A" w:rsidRDefault="00E84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F794B" w14:textId="77777777" w:rsidR="00E84B5A" w:rsidRPr="00B535B7" w:rsidRDefault="00E84B5A" w:rsidP="00E84B5A">
    <w:pPr>
      <w:pStyle w:val="Header"/>
      <w:jc w:val="center"/>
      <w:rPr>
        <w:rFonts w:cstheme="minorHAnsi"/>
        <w:noProof/>
        <w:color w:val="1F3864" w:themeColor="accent1" w:themeShade="80"/>
        <w:sz w:val="20"/>
        <w:szCs w:val="20"/>
        <w:lang w:eastAsia="en-GB"/>
      </w:rPr>
    </w:pPr>
    <w:r w:rsidRPr="00B535B7">
      <w:rPr>
        <w:rFonts w:cstheme="minorHAnsi"/>
        <w:noProof/>
        <w:color w:val="1F3864" w:themeColor="accent1" w:themeShade="80"/>
        <w:sz w:val="20"/>
        <w:szCs w:val="20"/>
        <w:lang w:eastAsia="en-GB"/>
      </w:rPr>
      <w:drawing>
        <wp:inline distT="0" distB="0" distL="0" distR="0" wp14:anchorId="187566EC" wp14:editId="6AFA3BFB">
          <wp:extent cx="1143000" cy="581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p>
  <w:p w14:paraId="61FD141A" w14:textId="77777777" w:rsidR="00E84B5A" w:rsidRPr="00B535B7" w:rsidRDefault="00E84B5A" w:rsidP="00E84B5A">
    <w:pPr>
      <w:pStyle w:val="Header"/>
      <w:tabs>
        <w:tab w:val="center" w:pos="4808"/>
        <w:tab w:val="right" w:pos="9617"/>
      </w:tabs>
      <w:jc w:val="center"/>
      <w:rPr>
        <w:rFonts w:cstheme="minorHAnsi"/>
        <w:b/>
        <w:color w:val="1F3864" w:themeColor="accent1" w:themeShade="80"/>
        <w:sz w:val="20"/>
        <w:szCs w:val="20"/>
        <w:lang w:val="en-US"/>
      </w:rPr>
    </w:pPr>
    <w:r w:rsidRPr="00B535B7">
      <w:rPr>
        <w:rFonts w:cstheme="minorHAnsi"/>
        <w:b/>
        <w:color w:val="1F3864" w:themeColor="accent1" w:themeShade="80"/>
        <w:sz w:val="20"/>
        <w:szCs w:val="20"/>
      </w:rPr>
      <w:t>ST MARTINS MEDICAL CENTRE</w:t>
    </w:r>
  </w:p>
  <w:p w14:paraId="44F90BD4" w14:textId="77777777" w:rsidR="00E84B5A" w:rsidRPr="00B535B7" w:rsidRDefault="00E84B5A" w:rsidP="00E84B5A">
    <w:pPr>
      <w:pStyle w:val="Header"/>
      <w:tabs>
        <w:tab w:val="center" w:pos="4808"/>
        <w:tab w:val="right" w:pos="9617"/>
      </w:tabs>
      <w:jc w:val="center"/>
      <w:rPr>
        <w:rFonts w:cstheme="minorHAnsi"/>
        <w:b/>
        <w:color w:val="1F3864" w:themeColor="accent1" w:themeShade="80"/>
        <w:sz w:val="20"/>
        <w:szCs w:val="20"/>
      </w:rPr>
    </w:pPr>
    <w:proofErr w:type="spellStart"/>
    <w:r w:rsidRPr="00B535B7">
      <w:rPr>
        <w:rFonts w:cstheme="minorHAnsi"/>
        <w:b/>
        <w:color w:val="1F3864" w:themeColor="accent1" w:themeShade="80"/>
        <w:sz w:val="20"/>
        <w:szCs w:val="20"/>
      </w:rPr>
      <w:t>Dr.</w:t>
    </w:r>
    <w:proofErr w:type="spellEnd"/>
    <w:r w:rsidRPr="00B535B7">
      <w:rPr>
        <w:rFonts w:cstheme="minorHAnsi"/>
        <w:b/>
        <w:color w:val="1F3864" w:themeColor="accent1" w:themeShade="80"/>
        <w:sz w:val="20"/>
        <w:szCs w:val="20"/>
      </w:rPr>
      <w:t xml:space="preserve"> A. Raj MBBS. MRCGP. </w:t>
    </w:r>
    <w:proofErr w:type="spellStart"/>
    <w:r w:rsidRPr="00B535B7">
      <w:rPr>
        <w:rFonts w:cstheme="minorHAnsi"/>
        <w:b/>
        <w:color w:val="1F3864" w:themeColor="accent1" w:themeShade="80"/>
        <w:sz w:val="20"/>
        <w:szCs w:val="20"/>
      </w:rPr>
      <w:t>Bsc</w:t>
    </w:r>
    <w:proofErr w:type="spellEnd"/>
    <w:r w:rsidRPr="00B535B7">
      <w:rPr>
        <w:rFonts w:cstheme="minorHAnsi"/>
        <w:b/>
        <w:color w:val="1F3864" w:themeColor="accent1" w:themeShade="80"/>
        <w:sz w:val="20"/>
        <w:szCs w:val="20"/>
      </w:rPr>
      <w:t>.</w:t>
    </w:r>
  </w:p>
  <w:p w14:paraId="7932445C" w14:textId="794F7108" w:rsidR="00E84B5A" w:rsidRPr="00B535B7" w:rsidRDefault="00E84B5A" w:rsidP="00E84B5A">
    <w:pPr>
      <w:jc w:val="both"/>
      <w:rPr>
        <w:rFonts w:asciiTheme="minorHAnsi" w:hAnsiTheme="minorHAnsi" w:cstheme="minorHAnsi"/>
        <w:b/>
        <w:color w:val="1F3864" w:themeColor="accent1" w:themeShade="80"/>
        <w:sz w:val="20"/>
        <w:szCs w:val="20"/>
      </w:rPr>
    </w:pPr>
    <w:r>
      <w:rPr>
        <w:rFonts w:asciiTheme="minorHAnsi" w:hAnsiTheme="minorHAnsi" w:cstheme="minorHAnsi"/>
        <w:b/>
        <w:color w:val="1F3864" w:themeColor="accent1" w:themeShade="80"/>
        <w:sz w:val="20"/>
        <w:szCs w:val="20"/>
      </w:rPr>
      <w:t xml:space="preserve">                                              </w:t>
    </w:r>
    <w:r w:rsidRPr="00B535B7">
      <w:rPr>
        <w:rFonts w:asciiTheme="minorHAnsi" w:hAnsiTheme="minorHAnsi" w:cstheme="minorHAnsi"/>
        <w:b/>
        <w:color w:val="1F3864" w:themeColor="accent1" w:themeShade="80"/>
        <w:sz w:val="20"/>
        <w:szCs w:val="20"/>
      </w:rPr>
      <w:t>Website</w:t>
    </w:r>
    <w:r>
      <w:rPr>
        <w:rFonts w:cstheme="minorHAnsi"/>
        <w:b/>
        <w:color w:val="1F3864" w:themeColor="accent1" w:themeShade="80"/>
        <w:sz w:val="20"/>
        <w:szCs w:val="20"/>
      </w:rPr>
      <w:t xml:space="preserve">: </w:t>
    </w:r>
    <w:hyperlink r:id="rId2" w:history="1">
      <w:r w:rsidRPr="00B535B7">
        <w:rPr>
          <w:rStyle w:val="Hyperlink"/>
          <w:rFonts w:asciiTheme="minorHAnsi" w:eastAsiaTheme="minorHAnsi" w:hAnsiTheme="minorHAnsi" w:cstheme="minorHAnsi"/>
          <w:color w:val="1F3864" w:themeColor="accent1" w:themeShade="80"/>
          <w:sz w:val="20"/>
          <w:szCs w:val="20"/>
        </w:rPr>
        <w:t>https://www.stmartinsmedicalcentre.co.uk/</w:t>
      </w:r>
    </w:hyperlink>
  </w:p>
  <w:p w14:paraId="1BCEE1F6" w14:textId="57FD8E76" w:rsidR="00E84B5A" w:rsidRDefault="00E84B5A" w:rsidP="00675084">
    <w:pPr>
      <w:pStyle w:val="Header"/>
      <w:jc w:val="center"/>
    </w:pPr>
  </w:p>
  <w:p w14:paraId="500998FC" w14:textId="77777777" w:rsidR="00E84B5A" w:rsidRPr="00675084" w:rsidRDefault="00E84B5A" w:rsidP="00675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2520E" w14:textId="77777777" w:rsidR="00E84B5A" w:rsidRDefault="00E84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11914"/>
    <w:multiLevelType w:val="hybridMultilevel"/>
    <w:tmpl w:val="9BDE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5450F"/>
    <w:multiLevelType w:val="hybridMultilevel"/>
    <w:tmpl w:val="155A9E32"/>
    <w:lvl w:ilvl="0" w:tplc="36A262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20AFD"/>
    <w:multiLevelType w:val="hybridMultilevel"/>
    <w:tmpl w:val="6DBA034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1482775B"/>
    <w:multiLevelType w:val="multilevel"/>
    <w:tmpl w:val="34D6787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1BB22777"/>
    <w:multiLevelType w:val="hybridMultilevel"/>
    <w:tmpl w:val="683E6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F190B"/>
    <w:multiLevelType w:val="hybridMultilevel"/>
    <w:tmpl w:val="E372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6761C"/>
    <w:multiLevelType w:val="hybridMultilevel"/>
    <w:tmpl w:val="8E98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A3426"/>
    <w:multiLevelType w:val="hybridMultilevel"/>
    <w:tmpl w:val="B56A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3F9902EF"/>
    <w:multiLevelType w:val="hybridMultilevel"/>
    <w:tmpl w:val="620E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329C6"/>
    <w:multiLevelType w:val="hybridMultilevel"/>
    <w:tmpl w:val="757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9B0486"/>
    <w:multiLevelType w:val="hybridMultilevel"/>
    <w:tmpl w:val="83A4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36D88"/>
    <w:multiLevelType w:val="hybridMultilevel"/>
    <w:tmpl w:val="7B92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5A9B31A9"/>
    <w:multiLevelType w:val="hybridMultilevel"/>
    <w:tmpl w:val="B854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7A65F4"/>
    <w:multiLevelType w:val="multilevel"/>
    <w:tmpl w:val="136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B228FA"/>
    <w:multiLevelType w:val="hybridMultilevel"/>
    <w:tmpl w:val="752E0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C7156A"/>
    <w:multiLevelType w:val="hybridMultilevel"/>
    <w:tmpl w:val="69DE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60590"/>
    <w:multiLevelType w:val="hybridMultilevel"/>
    <w:tmpl w:val="3960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882F07"/>
    <w:multiLevelType w:val="hybridMultilevel"/>
    <w:tmpl w:val="DD3C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6"/>
  </w:num>
  <w:num w:numId="5">
    <w:abstractNumId w:val="7"/>
  </w:num>
  <w:num w:numId="6">
    <w:abstractNumId w:val="30"/>
  </w:num>
  <w:num w:numId="7">
    <w:abstractNumId w:val="5"/>
  </w:num>
  <w:num w:numId="8">
    <w:abstractNumId w:val="24"/>
  </w:num>
  <w:num w:numId="9">
    <w:abstractNumId w:val="14"/>
  </w:num>
  <w:num w:numId="10">
    <w:abstractNumId w:val="12"/>
  </w:num>
  <w:num w:numId="11">
    <w:abstractNumId w:val="31"/>
  </w:num>
  <w:num w:numId="12">
    <w:abstractNumId w:val="27"/>
  </w:num>
  <w:num w:numId="13">
    <w:abstractNumId w:val="26"/>
  </w:num>
  <w:num w:numId="14">
    <w:abstractNumId w:val="21"/>
  </w:num>
  <w:num w:numId="15">
    <w:abstractNumId w:val="34"/>
  </w:num>
  <w:num w:numId="16">
    <w:abstractNumId w:val="18"/>
  </w:num>
  <w:num w:numId="17">
    <w:abstractNumId w:val="9"/>
  </w:num>
  <w:num w:numId="18">
    <w:abstractNumId w:val="6"/>
  </w:num>
  <w:num w:numId="19">
    <w:abstractNumId w:val="35"/>
  </w:num>
  <w:num w:numId="20">
    <w:abstractNumId w:val="20"/>
  </w:num>
  <w:num w:numId="21">
    <w:abstractNumId w:val="36"/>
  </w:num>
  <w:num w:numId="22">
    <w:abstractNumId w:val="15"/>
  </w:num>
  <w:num w:numId="23">
    <w:abstractNumId w:val="13"/>
  </w:num>
  <w:num w:numId="24">
    <w:abstractNumId w:val="11"/>
  </w:num>
  <w:num w:numId="25">
    <w:abstractNumId w:val="10"/>
  </w:num>
  <w:num w:numId="26">
    <w:abstractNumId w:val="4"/>
  </w:num>
  <w:num w:numId="27">
    <w:abstractNumId w:val="4"/>
  </w:num>
  <w:num w:numId="28">
    <w:abstractNumId w:val="4"/>
  </w:num>
  <w:num w:numId="29">
    <w:abstractNumId w:val="28"/>
  </w:num>
  <w:num w:numId="30">
    <w:abstractNumId w:val="23"/>
  </w:num>
  <w:num w:numId="31">
    <w:abstractNumId w:val="22"/>
  </w:num>
  <w:num w:numId="32">
    <w:abstractNumId w:val="33"/>
  </w:num>
  <w:num w:numId="33">
    <w:abstractNumId w:val="29"/>
  </w:num>
  <w:num w:numId="34">
    <w:abstractNumId w:val="17"/>
  </w:num>
  <w:num w:numId="35">
    <w:abstractNumId w:val="1"/>
  </w:num>
  <w:num w:numId="36">
    <w:abstractNumId w:val="3"/>
  </w:num>
  <w:num w:numId="37">
    <w:abstractNumId w:val="2"/>
  </w:num>
  <w:num w:numId="38">
    <w:abstractNumId w:val="25"/>
  </w:num>
  <w:num w:numId="39">
    <w:abstractNumId w:val="4"/>
  </w:num>
  <w:num w:numId="40">
    <w:abstractNumId w:val="4"/>
  </w:num>
  <w:num w:numId="41">
    <w:abstractNumId w:val="4"/>
  </w:num>
  <w:num w:numId="42">
    <w:abstractNumId w:val="4"/>
  </w:num>
  <w:num w:numId="43">
    <w:abstractNumId w:val="32"/>
  </w:num>
  <w:num w:numId="4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96"/>
    <w:rsid w:val="00003771"/>
    <w:rsid w:val="000038FC"/>
    <w:rsid w:val="00004AC3"/>
    <w:rsid w:val="0001030F"/>
    <w:rsid w:val="00010796"/>
    <w:rsid w:val="00010C4B"/>
    <w:rsid w:val="000155E6"/>
    <w:rsid w:val="00015804"/>
    <w:rsid w:val="00015E07"/>
    <w:rsid w:val="0002221A"/>
    <w:rsid w:val="000239B6"/>
    <w:rsid w:val="00031628"/>
    <w:rsid w:val="00034C0F"/>
    <w:rsid w:val="000353E8"/>
    <w:rsid w:val="000375A3"/>
    <w:rsid w:val="00042369"/>
    <w:rsid w:val="00042B93"/>
    <w:rsid w:val="00043EE9"/>
    <w:rsid w:val="00044905"/>
    <w:rsid w:val="00051899"/>
    <w:rsid w:val="00053733"/>
    <w:rsid w:val="0005465B"/>
    <w:rsid w:val="000606A2"/>
    <w:rsid w:val="00067160"/>
    <w:rsid w:val="00067527"/>
    <w:rsid w:val="00067DD3"/>
    <w:rsid w:val="000705C3"/>
    <w:rsid w:val="00075116"/>
    <w:rsid w:val="00076067"/>
    <w:rsid w:val="00077B69"/>
    <w:rsid w:val="0008472C"/>
    <w:rsid w:val="000850EB"/>
    <w:rsid w:val="000858D5"/>
    <w:rsid w:val="00091880"/>
    <w:rsid w:val="00094747"/>
    <w:rsid w:val="00095DE9"/>
    <w:rsid w:val="000A0D59"/>
    <w:rsid w:val="000A2B65"/>
    <w:rsid w:val="000A4058"/>
    <w:rsid w:val="000A5A72"/>
    <w:rsid w:val="000B3712"/>
    <w:rsid w:val="000B7E74"/>
    <w:rsid w:val="000C69F7"/>
    <w:rsid w:val="000D0020"/>
    <w:rsid w:val="000D2BB3"/>
    <w:rsid w:val="000E23B0"/>
    <w:rsid w:val="000E586F"/>
    <w:rsid w:val="000F35E7"/>
    <w:rsid w:val="000F4553"/>
    <w:rsid w:val="000F4FBA"/>
    <w:rsid w:val="000F50CE"/>
    <w:rsid w:val="000F5FF7"/>
    <w:rsid w:val="001037C5"/>
    <w:rsid w:val="00105D87"/>
    <w:rsid w:val="00107BC3"/>
    <w:rsid w:val="00110CEF"/>
    <w:rsid w:val="00111E00"/>
    <w:rsid w:val="001128AD"/>
    <w:rsid w:val="00116F41"/>
    <w:rsid w:val="00117275"/>
    <w:rsid w:val="00120450"/>
    <w:rsid w:val="00123E8D"/>
    <w:rsid w:val="00125496"/>
    <w:rsid w:val="001322DE"/>
    <w:rsid w:val="0013257C"/>
    <w:rsid w:val="00135BDF"/>
    <w:rsid w:val="00137D0F"/>
    <w:rsid w:val="001429C3"/>
    <w:rsid w:val="00144A86"/>
    <w:rsid w:val="001462F2"/>
    <w:rsid w:val="00152800"/>
    <w:rsid w:val="00154D70"/>
    <w:rsid w:val="00160F3C"/>
    <w:rsid w:val="00165B9D"/>
    <w:rsid w:val="00166F39"/>
    <w:rsid w:val="00167C93"/>
    <w:rsid w:val="00172ACD"/>
    <w:rsid w:val="001820F8"/>
    <w:rsid w:val="00182759"/>
    <w:rsid w:val="0018645F"/>
    <w:rsid w:val="001872B9"/>
    <w:rsid w:val="0019060B"/>
    <w:rsid w:val="00190C4A"/>
    <w:rsid w:val="0019118A"/>
    <w:rsid w:val="00193FD6"/>
    <w:rsid w:val="00195FBE"/>
    <w:rsid w:val="00197E1C"/>
    <w:rsid w:val="001A01D7"/>
    <w:rsid w:val="001A145E"/>
    <w:rsid w:val="001A7A41"/>
    <w:rsid w:val="001B15E6"/>
    <w:rsid w:val="001B68C3"/>
    <w:rsid w:val="001C1E10"/>
    <w:rsid w:val="001C2EC0"/>
    <w:rsid w:val="001C6D6A"/>
    <w:rsid w:val="001C6E28"/>
    <w:rsid w:val="001D10A0"/>
    <w:rsid w:val="001D2DE2"/>
    <w:rsid w:val="001E29E7"/>
    <w:rsid w:val="001E6730"/>
    <w:rsid w:val="001F0DF9"/>
    <w:rsid w:val="001F2EBF"/>
    <w:rsid w:val="001F48C2"/>
    <w:rsid w:val="00200002"/>
    <w:rsid w:val="0020058A"/>
    <w:rsid w:val="002045B0"/>
    <w:rsid w:val="00204801"/>
    <w:rsid w:val="00206BA6"/>
    <w:rsid w:val="00217624"/>
    <w:rsid w:val="00222365"/>
    <w:rsid w:val="00223D46"/>
    <w:rsid w:val="00224955"/>
    <w:rsid w:val="00231DAE"/>
    <w:rsid w:val="00232534"/>
    <w:rsid w:val="002360B0"/>
    <w:rsid w:val="00241E23"/>
    <w:rsid w:val="002423C2"/>
    <w:rsid w:val="0024382A"/>
    <w:rsid w:val="00245C51"/>
    <w:rsid w:val="0024704E"/>
    <w:rsid w:val="00253AA8"/>
    <w:rsid w:val="002543AE"/>
    <w:rsid w:val="00255F27"/>
    <w:rsid w:val="00256CC4"/>
    <w:rsid w:val="002638C3"/>
    <w:rsid w:val="00265931"/>
    <w:rsid w:val="00271B55"/>
    <w:rsid w:val="002957F7"/>
    <w:rsid w:val="002A7D6C"/>
    <w:rsid w:val="002B437A"/>
    <w:rsid w:val="002B5A13"/>
    <w:rsid w:val="002B659E"/>
    <w:rsid w:val="002B65D0"/>
    <w:rsid w:val="002C0F0A"/>
    <w:rsid w:val="002C6527"/>
    <w:rsid w:val="002C7287"/>
    <w:rsid w:val="002C7508"/>
    <w:rsid w:val="002C78FF"/>
    <w:rsid w:val="002D18C1"/>
    <w:rsid w:val="002D48FF"/>
    <w:rsid w:val="002D53CC"/>
    <w:rsid w:val="002D53FA"/>
    <w:rsid w:val="002E2B2A"/>
    <w:rsid w:val="002F1096"/>
    <w:rsid w:val="002F275C"/>
    <w:rsid w:val="002F4808"/>
    <w:rsid w:val="003000BD"/>
    <w:rsid w:val="00300373"/>
    <w:rsid w:val="00302507"/>
    <w:rsid w:val="00302B80"/>
    <w:rsid w:val="00305A7B"/>
    <w:rsid w:val="0031325B"/>
    <w:rsid w:val="00321B81"/>
    <w:rsid w:val="003223D3"/>
    <w:rsid w:val="00332780"/>
    <w:rsid w:val="003335E7"/>
    <w:rsid w:val="0033473B"/>
    <w:rsid w:val="003412F1"/>
    <w:rsid w:val="00343E43"/>
    <w:rsid w:val="00343F2F"/>
    <w:rsid w:val="0034794D"/>
    <w:rsid w:val="0035050E"/>
    <w:rsid w:val="0035306F"/>
    <w:rsid w:val="0035600D"/>
    <w:rsid w:val="003562F3"/>
    <w:rsid w:val="00356EA8"/>
    <w:rsid w:val="00357D85"/>
    <w:rsid w:val="00361EBF"/>
    <w:rsid w:val="003628E5"/>
    <w:rsid w:val="00366213"/>
    <w:rsid w:val="00366CEC"/>
    <w:rsid w:val="00367A39"/>
    <w:rsid w:val="00371745"/>
    <w:rsid w:val="00377FB9"/>
    <w:rsid w:val="003833EE"/>
    <w:rsid w:val="003870E1"/>
    <w:rsid w:val="00387D5B"/>
    <w:rsid w:val="00390205"/>
    <w:rsid w:val="00392BD7"/>
    <w:rsid w:val="00395603"/>
    <w:rsid w:val="00397377"/>
    <w:rsid w:val="003A08C7"/>
    <w:rsid w:val="003A44B9"/>
    <w:rsid w:val="003B6C28"/>
    <w:rsid w:val="003C1644"/>
    <w:rsid w:val="003C4936"/>
    <w:rsid w:val="003C69BA"/>
    <w:rsid w:val="003D4FAE"/>
    <w:rsid w:val="003D648E"/>
    <w:rsid w:val="003D679B"/>
    <w:rsid w:val="003D7BC6"/>
    <w:rsid w:val="003E0122"/>
    <w:rsid w:val="003E3117"/>
    <w:rsid w:val="003E4526"/>
    <w:rsid w:val="003E5B9C"/>
    <w:rsid w:val="003E668B"/>
    <w:rsid w:val="003E72F8"/>
    <w:rsid w:val="003F36B9"/>
    <w:rsid w:val="003F4D58"/>
    <w:rsid w:val="003F6E45"/>
    <w:rsid w:val="00404959"/>
    <w:rsid w:val="00411341"/>
    <w:rsid w:val="00411AF8"/>
    <w:rsid w:val="00413677"/>
    <w:rsid w:val="004163D3"/>
    <w:rsid w:val="004166D9"/>
    <w:rsid w:val="00423FBA"/>
    <w:rsid w:val="00424331"/>
    <w:rsid w:val="00424878"/>
    <w:rsid w:val="00425686"/>
    <w:rsid w:val="0042723D"/>
    <w:rsid w:val="0043549F"/>
    <w:rsid w:val="00436EEE"/>
    <w:rsid w:val="00440983"/>
    <w:rsid w:val="0044220B"/>
    <w:rsid w:val="00442786"/>
    <w:rsid w:val="00442A07"/>
    <w:rsid w:val="00442BCE"/>
    <w:rsid w:val="00450B6F"/>
    <w:rsid w:val="00453016"/>
    <w:rsid w:val="00453DA5"/>
    <w:rsid w:val="00455E3B"/>
    <w:rsid w:val="00457DFB"/>
    <w:rsid w:val="00460BA9"/>
    <w:rsid w:val="00462DDE"/>
    <w:rsid w:val="00464F50"/>
    <w:rsid w:val="004674C5"/>
    <w:rsid w:val="00474076"/>
    <w:rsid w:val="00474C43"/>
    <w:rsid w:val="004763A7"/>
    <w:rsid w:val="004A2D8A"/>
    <w:rsid w:val="004A45AA"/>
    <w:rsid w:val="004A50F6"/>
    <w:rsid w:val="004B548E"/>
    <w:rsid w:val="004C0649"/>
    <w:rsid w:val="004C5D83"/>
    <w:rsid w:val="004C604E"/>
    <w:rsid w:val="004D12FF"/>
    <w:rsid w:val="004D4FB9"/>
    <w:rsid w:val="004D5971"/>
    <w:rsid w:val="004D67CA"/>
    <w:rsid w:val="004E0333"/>
    <w:rsid w:val="004E458A"/>
    <w:rsid w:val="004E647A"/>
    <w:rsid w:val="004E7453"/>
    <w:rsid w:val="004F11CB"/>
    <w:rsid w:val="004F122F"/>
    <w:rsid w:val="004F587B"/>
    <w:rsid w:val="005067B1"/>
    <w:rsid w:val="005068EC"/>
    <w:rsid w:val="00506F29"/>
    <w:rsid w:val="00512100"/>
    <w:rsid w:val="00513DE0"/>
    <w:rsid w:val="00515291"/>
    <w:rsid w:val="005174B9"/>
    <w:rsid w:val="005215B9"/>
    <w:rsid w:val="00523A57"/>
    <w:rsid w:val="005263B3"/>
    <w:rsid w:val="00527B68"/>
    <w:rsid w:val="005321E7"/>
    <w:rsid w:val="005407DE"/>
    <w:rsid w:val="00542A01"/>
    <w:rsid w:val="005536AA"/>
    <w:rsid w:val="005629E0"/>
    <w:rsid w:val="00563D1E"/>
    <w:rsid w:val="00574ADC"/>
    <w:rsid w:val="00575886"/>
    <w:rsid w:val="00577116"/>
    <w:rsid w:val="00580FBA"/>
    <w:rsid w:val="005841A2"/>
    <w:rsid w:val="00584FCF"/>
    <w:rsid w:val="005923E7"/>
    <w:rsid w:val="005A2B1C"/>
    <w:rsid w:val="005B058D"/>
    <w:rsid w:val="005B57E4"/>
    <w:rsid w:val="005C0233"/>
    <w:rsid w:val="005E171C"/>
    <w:rsid w:val="005E3A4C"/>
    <w:rsid w:val="005E4FBB"/>
    <w:rsid w:val="005F2BC0"/>
    <w:rsid w:val="00600920"/>
    <w:rsid w:val="00603C03"/>
    <w:rsid w:val="00610EBB"/>
    <w:rsid w:val="0061370C"/>
    <w:rsid w:val="00614057"/>
    <w:rsid w:val="00617DD7"/>
    <w:rsid w:val="0062334A"/>
    <w:rsid w:val="00631A5F"/>
    <w:rsid w:val="00631F81"/>
    <w:rsid w:val="00634F2D"/>
    <w:rsid w:val="00643220"/>
    <w:rsid w:val="00643B50"/>
    <w:rsid w:val="0064450D"/>
    <w:rsid w:val="00650FF6"/>
    <w:rsid w:val="00654A35"/>
    <w:rsid w:val="0065680F"/>
    <w:rsid w:val="00663BAA"/>
    <w:rsid w:val="00674738"/>
    <w:rsid w:val="00674887"/>
    <w:rsid w:val="00675084"/>
    <w:rsid w:val="00677D3D"/>
    <w:rsid w:val="00680162"/>
    <w:rsid w:val="0068155F"/>
    <w:rsid w:val="00681720"/>
    <w:rsid w:val="00681FA6"/>
    <w:rsid w:val="00681FDF"/>
    <w:rsid w:val="00682B45"/>
    <w:rsid w:val="00684F05"/>
    <w:rsid w:val="00685CB4"/>
    <w:rsid w:val="00692ED5"/>
    <w:rsid w:val="006A762A"/>
    <w:rsid w:val="006B16BA"/>
    <w:rsid w:val="006C213B"/>
    <w:rsid w:val="006C289F"/>
    <w:rsid w:val="006C2D92"/>
    <w:rsid w:val="006C3CFB"/>
    <w:rsid w:val="006C5288"/>
    <w:rsid w:val="006C52A7"/>
    <w:rsid w:val="006C564B"/>
    <w:rsid w:val="006E1BEC"/>
    <w:rsid w:val="006E316E"/>
    <w:rsid w:val="006E4F34"/>
    <w:rsid w:val="006F64D1"/>
    <w:rsid w:val="006F6E6B"/>
    <w:rsid w:val="00700EC8"/>
    <w:rsid w:val="00713EF4"/>
    <w:rsid w:val="00714860"/>
    <w:rsid w:val="0071583A"/>
    <w:rsid w:val="00730CC3"/>
    <w:rsid w:val="007326E3"/>
    <w:rsid w:val="00736630"/>
    <w:rsid w:val="00737B67"/>
    <w:rsid w:val="00737EBA"/>
    <w:rsid w:val="00741138"/>
    <w:rsid w:val="00746670"/>
    <w:rsid w:val="00753CF3"/>
    <w:rsid w:val="007559A8"/>
    <w:rsid w:val="00760025"/>
    <w:rsid w:val="00761798"/>
    <w:rsid w:val="00761A21"/>
    <w:rsid w:val="0076464D"/>
    <w:rsid w:val="007650FE"/>
    <w:rsid w:val="00771E2E"/>
    <w:rsid w:val="00781E32"/>
    <w:rsid w:val="00783572"/>
    <w:rsid w:val="007869B6"/>
    <w:rsid w:val="00790868"/>
    <w:rsid w:val="00791DD4"/>
    <w:rsid w:val="007941F2"/>
    <w:rsid w:val="00796159"/>
    <w:rsid w:val="007963EF"/>
    <w:rsid w:val="00797147"/>
    <w:rsid w:val="007A0CC9"/>
    <w:rsid w:val="007A445A"/>
    <w:rsid w:val="007B513C"/>
    <w:rsid w:val="007B711A"/>
    <w:rsid w:val="007C2FBE"/>
    <w:rsid w:val="007C4EA7"/>
    <w:rsid w:val="007C657E"/>
    <w:rsid w:val="007C746D"/>
    <w:rsid w:val="007D36E5"/>
    <w:rsid w:val="007D567A"/>
    <w:rsid w:val="007D6780"/>
    <w:rsid w:val="007E02CD"/>
    <w:rsid w:val="007E2FDF"/>
    <w:rsid w:val="007E4E9F"/>
    <w:rsid w:val="007F0769"/>
    <w:rsid w:val="007F1958"/>
    <w:rsid w:val="007F3AE0"/>
    <w:rsid w:val="0080548D"/>
    <w:rsid w:val="0080618C"/>
    <w:rsid w:val="00807595"/>
    <w:rsid w:val="00814AFD"/>
    <w:rsid w:val="00820D27"/>
    <w:rsid w:val="00822048"/>
    <w:rsid w:val="00822E19"/>
    <w:rsid w:val="008349DE"/>
    <w:rsid w:val="00837E95"/>
    <w:rsid w:val="00847F9A"/>
    <w:rsid w:val="008570C9"/>
    <w:rsid w:val="008603AE"/>
    <w:rsid w:val="00862EB6"/>
    <w:rsid w:val="00864CB5"/>
    <w:rsid w:val="00873345"/>
    <w:rsid w:val="00876911"/>
    <w:rsid w:val="00876F26"/>
    <w:rsid w:val="00876F46"/>
    <w:rsid w:val="008804AC"/>
    <w:rsid w:val="00890ED5"/>
    <w:rsid w:val="008931A0"/>
    <w:rsid w:val="0089467C"/>
    <w:rsid w:val="0089666E"/>
    <w:rsid w:val="00896912"/>
    <w:rsid w:val="008A36FF"/>
    <w:rsid w:val="008A582C"/>
    <w:rsid w:val="008A5CCE"/>
    <w:rsid w:val="008C5B17"/>
    <w:rsid w:val="008C6AD8"/>
    <w:rsid w:val="008D1D73"/>
    <w:rsid w:val="008D5E2A"/>
    <w:rsid w:val="008D73AD"/>
    <w:rsid w:val="008E0624"/>
    <w:rsid w:val="008E10FB"/>
    <w:rsid w:val="008E2975"/>
    <w:rsid w:val="008E5F09"/>
    <w:rsid w:val="008F185C"/>
    <w:rsid w:val="008F4B4C"/>
    <w:rsid w:val="00901F47"/>
    <w:rsid w:val="0090282C"/>
    <w:rsid w:val="00904E91"/>
    <w:rsid w:val="00912FE1"/>
    <w:rsid w:val="009132F2"/>
    <w:rsid w:val="009235C1"/>
    <w:rsid w:val="00923609"/>
    <w:rsid w:val="009242CF"/>
    <w:rsid w:val="009275ED"/>
    <w:rsid w:val="00931791"/>
    <w:rsid w:val="009320AB"/>
    <w:rsid w:val="0093273C"/>
    <w:rsid w:val="00940EB7"/>
    <w:rsid w:val="00943551"/>
    <w:rsid w:val="0094362B"/>
    <w:rsid w:val="00943D27"/>
    <w:rsid w:val="00944086"/>
    <w:rsid w:val="009527FE"/>
    <w:rsid w:val="00953D17"/>
    <w:rsid w:val="0095408D"/>
    <w:rsid w:val="00955B58"/>
    <w:rsid w:val="009577ED"/>
    <w:rsid w:val="00960DE5"/>
    <w:rsid w:val="00962F38"/>
    <w:rsid w:val="00965FEA"/>
    <w:rsid w:val="00966AC0"/>
    <w:rsid w:val="00967C39"/>
    <w:rsid w:val="00971A51"/>
    <w:rsid w:val="00976282"/>
    <w:rsid w:val="00976530"/>
    <w:rsid w:val="009808D7"/>
    <w:rsid w:val="00980B3C"/>
    <w:rsid w:val="00982EB3"/>
    <w:rsid w:val="009865FC"/>
    <w:rsid w:val="00986B04"/>
    <w:rsid w:val="009934CD"/>
    <w:rsid w:val="009934CF"/>
    <w:rsid w:val="00997576"/>
    <w:rsid w:val="009A3E74"/>
    <w:rsid w:val="009A603A"/>
    <w:rsid w:val="009B364A"/>
    <w:rsid w:val="009B4415"/>
    <w:rsid w:val="009C12C1"/>
    <w:rsid w:val="009C68FF"/>
    <w:rsid w:val="009D3BBE"/>
    <w:rsid w:val="009D5CCB"/>
    <w:rsid w:val="009E44EC"/>
    <w:rsid w:val="009E4CC3"/>
    <w:rsid w:val="009F3854"/>
    <w:rsid w:val="009F3D5E"/>
    <w:rsid w:val="009F5124"/>
    <w:rsid w:val="009F75EF"/>
    <w:rsid w:val="00A02968"/>
    <w:rsid w:val="00A12A6E"/>
    <w:rsid w:val="00A17072"/>
    <w:rsid w:val="00A25716"/>
    <w:rsid w:val="00A26A10"/>
    <w:rsid w:val="00A40AC9"/>
    <w:rsid w:val="00A41B77"/>
    <w:rsid w:val="00A422BE"/>
    <w:rsid w:val="00A47272"/>
    <w:rsid w:val="00A52401"/>
    <w:rsid w:val="00A54790"/>
    <w:rsid w:val="00A62D77"/>
    <w:rsid w:val="00A636D9"/>
    <w:rsid w:val="00A673D2"/>
    <w:rsid w:val="00A702AA"/>
    <w:rsid w:val="00A721EE"/>
    <w:rsid w:val="00A74D11"/>
    <w:rsid w:val="00A76965"/>
    <w:rsid w:val="00A910EC"/>
    <w:rsid w:val="00A97622"/>
    <w:rsid w:val="00AA0EE2"/>
    <w:rsid w:val="00AA2B1F"/>
    <w:rsid w:val="00AA3D8D"/>
    <w:rsid w:val="00AB3844"/>
    <w:rsid w:val="00AB7728"/>
    <w:rsid w:val="00AC2677"/>
    <w:rsid w:val="00AD232F"/>
    <w:rsid w:val="00AD45AA"/>
    <w:rsid w:val="00AD5AA9"/>
    <w:rsid w:val="00AE091B"/>
    <w:rsid w:val="00AE22ED"/>
    <w:rsid w:val="00AE5E27"/>
    <w:rsid w:val="00AF4808"/>
    <w:rsid w:val="00B045D7"/>
    <w:rsid w:val="00B12D0B"/>
    <w:rsid w:val="00B16F5B"/>
    <w:rsid w:val="00B1777D"/>
    <w:rsid w:val="00B22E1E"/>
    <w:rsid w:val="00B2339A"/>
    <w:rsid w:val="00B2360B"/>
    <w:rsid w:val="00B25B50"/>
    <w:rsid w:val="00B27AE7"/>
    <w:rsid w:val="00B31B15"/>
    <w:rsid w:val="00B32A6F"/>
    <w:rsid w:val="00B337C9"/>
    <w:rsid w:val="00B34C10"/>
    <w:rsid w:val="00B353C6"/>
    <w:rsid w:val="00B35D79"/>
    <w:rsid w:val="00B5056E"/>
    <w:rsid w:val="00B506CA"/>
    <w:rsid w:val="00B533B3"/>
    <w:rsid w:val="00B53D92"/>
    <w:rsid w:val="00B566D0"/>
    <w:rsid w:val="00B61C5C"/>
    <w:rsid w:val="00B66ACC"/>
    <w:rsid w:val="00B7142C"/>
    <w:rsid w:val="00B74D98"/>
    <w:rsid w:val="00B75EA9"/>
    <w:rsid w:val="00B76523"/>
    <w:rsid w:val="00B947EC"/>
    <w:rsid w:val="00BA02C9"/>
    <w:rsid w:val="00BA2487"/>
    <w:rsid w:val="00BA25E8"/>
    <w:rsid w:val="00BA3514"/>
    <w:rsid w:val="00BB31FA"/>
    <w:rsid w:val="00BB564E"/>
    <w:rsid w:val="00BC02E2"/>
    <w:rsid w:val="00BD305E"/>
    <w:rsid w:val="00BD7A42"/>
    <w:rsid w:val="00BE003C"/>
    <w:rsid w:val="00BE2434"/>
    <w:rsid w:val="00BE3256"/>
    <w:rsid w:val="00BE4B68"/>
    <w:rsid w:val="00BE5218"/>
    <w:rsid w:val="00BE694D"/>
    <w:rsid w:val="00BF2B7C"/>
    <w:rsid w:val="00BF33F6"/>
    <w:rsid w:val="00BF343F"/>
    <w:rsid w:val="00BF5684"/>
    <w:rsid w:val="00BF5DAF"/>
    <w:rsid w:val="00BF70BB"/>
    <w:rsid w:val="00C0016B"/>
    <w:rsid w:val="00C033F2"/>
    <w:rsid w:val="00C037B7"/>
    <w:rsid w:val="00C03FFA"/>
    <w:rsid w:val="00C069CC"/>
    <w:rsid w:val="00C12C63"/>
    <w:rsid w:val="00C144AF"/>
    <w:rsid w:val="00C14EEA"/>
    <w:rsid w:val="00C1542B"/>
    <w:rsid w:val="00C15E22"/>
    <w:rsid w:val="00C17B1C"/>
    <w:rsid w:val="00C3402A"/>
    <w:rsid w:val="00C35CA3"/>
    <w:rsid w:val="00C414B0"/>
    <w:rsid w:val="00C427C6"/>
    <w:rsid w:val="00C43D2D"/>
    <w:rsid w:val="00C52C2A"/>
    <w:rsid w:val="00C56C06"/>
    <w:rsid w:val="00C67141"/>
    <w:rsid w:val="00C67444"/>
    <w:rsid w:val="00C71D01"/>
    <w:rsid w:val="00C72076"/>
    <w:rsid w:val="00C72915"/>
    <w:rsid w:val="00C72CB5"/>
    <w:rsid w:val="00C732B1"/>
    <w:rsid w:val="00C76B7B"/>
    <w:rsid w:val="00C77205"/>
    <w:rsid w:val="00C802F0"/>
    <w:rsid w:val="00C83D4C"/>
    <w:rsid w:val="00C86C72"/>
    <w:rsid w:val="00C91E5D"/>
    <w:rsid w:val="00C931DB"/>
    <w:rsid w:val="00C957F6"/>
    <w:rsid w:val="00C97BA7"/>
    <w:rsid w:val="00CA1A9E"/>
    <w:rsid w:val="00CB39DE"/>
    <w:rsid w:val="00CC18F3"/>
    <w:rsid w:val="00CD2BD0"/>
    <w:rsid w:val="00CD2EBD"/>
    <w:rsid w:val="00CD4001"/>
    <w:rsid w:val="00CD6088"/>
    <w:rsid w:val="00CD7147"/>
    <w:rsid w:val="00CD7AEF"/>
    <w:rsid w:val="00CE1C04"/>
    <w:rsid w:val="00CE2240"/>
    <w:rsid w:val="00CE4FF9"/>
    <w:rsid w:val="00CE51D3"/>
    <w:rsid w:val="00CF15E1"/>
    <w:rsid w:val="00CF23C3"/>
    <w:rsid w:val="00D01D60"/>
    <w:rsid w:val="00D02324"/>
    <w:rsid w:val="00D04A9C"/>
    <w:rsid w:val="00D05574"/>
    <w:rsid w:val="00D11D1B"/>
    <w:rsid w:val="00D133EE"/>
    <w:rsid w:val="00D1420B"/>
    <w:rsid w:val="00D17C03"/>
    <w:rsid w:val="00D20B86"/>
    <w:rsid w:val="00D20E52"/>
    <w:rsid w:val="00D269F4"/>
    <w:rsid w:val="00D30D95"/>
    <w:rsid w:val="00D30FB1"/>
    <w:rsid w:val="00D32C03"/>
    <w:rsid w:val="00D33B30"/>
    <w:rsid w:val="00D432C1"/>
    <w:rsid w:val="00D43D34"/>
    <w:rsid w:val="00D44CB6"/>
    <w:rsid w:val="00D460D7"/>
    <w:rsid w:val="00D513A5"/>
    <w:rsid w:val="00D55D20"/>
    <w:rsid w:val="00D5641E"/>
    <w:rsid w:val="00D6351F"/>
    <w:rsid w:val="00D76571"/>
    <w:rsid w:val="00D7710A"/>
    <w:rsid w:val="00D85E4D"/>
    <w:rsid w:val="00D8677B"/>
    <w:rsid w:val="00D86B88"/>
    <w:rsid w:val="00D87A77"/>
    <w:rsid w:val="00D93001"/>
    <w:rsid w:val="00DA103A"/>
    <w:rsid w:val="00DA16F5"/>
    <w:rsid w:val="00DB0B52"/>
    <w:rsid w:val="00DB182A"/>
    <w:rsid w:val="00DB1EFC"/>
    <w:rsid w:val="00DB5E00"/>
    <w:rsid w:val="00DC26B1"/>
    <w:rsid w:val="00DC2986"/>
    <w:rsid w:val="00DC4668"/>
    <w:rsid w:val="00DD129F"/>
    <w:rsid w:val="00DD1B49"/>
    <w:rsid w:val="00DD209F"/>
    <w:rsid w:val="00DD61BF"/>
    <w:rsid w:val="00DE3FAB"/>
    <w:rsid w:val="00DE3FB6"/>
    <w:rsid w:val="00DE6726"/>
    <w:rsid w:val="00DF2AF5"/>
    <w:rsid w:val="00DF505E"/>
    <w:rsid w:val="00E0556A"/>
    <w:rsid w:val="00E055B9"/>
    <w:rsid w:val="00E06B7E"/>
    <w:rsid w:val="00E102BA"/>
    <w:rsid w:val="00E16317"/>
    <w:rsid w:val="00E22435"/>
    <w:rsid w:val="00E23FDB"/>
    <w:rsid w:val="00E2519D"/>
    <w:rsid w:val="00E2563B"/>
    <w:rsid w:val="00E30399"/>
    <w:rsid w:val="00E31CF4"/>
    <w:rsid w:val="00E3235D"/>
    <w:rsid w:val="00E33BD6"/>
    <w:rsid w:val="00E34625"/>
    <w:rsid w:val="00E35A44"/>
    <w:rsid w:val="00E41DD9"/>
    <w:rsid w:val="00E43E96"/>
    <w:rsid w:val="00E45A5F"/>
    <w:rsid w:val="00E52340"/>
    <w:rsid w:val="00E53611"/>
    <w:rsid w:val="00E5412E"/>
    <w:rsid w:val="00E54816"/>
    <w:rsid w:val="00E57B8F"/>
    <w:rsid w:val="00E60F1C"/>
    <w:rsid w:val="00E6518D"/>
    <w:rsid w:val="00E656A3"/>
    <w:rsid w:val="00E65989"/>
    <w:rsid w:val="00E71AA4"/>
    <w:rsid w:val="00E72FAC"/>
    <w:rsid w:val="00E74008"/>
    <w:rsid w:val="00E74EE4"/>
    <w:rsid w:val="00E76417"/>
    <w:rsid w:val="00E80077"/>
    <w:rsid w:val="00E83075"/>
    <w:rsid w:val="00E84B5A"/>
    <w:rsid w:val="00E85096"/>
    <w:rsid w:val="00E91793"/>
    <w:rsid w:val="00E9196C"/>
    <w:rsid w:val="00E956F7"/>
    <w:rsid w:val="00EB1CEF"/>
    <w:rsid w:val="00EB54C4"/>
    <w:rsid w:val="00EB64C5"/>
    <w:rsid w:val="00EB767F"/>
    <w:rsid w:val="00EC4224"/>
    <w:rsid w:val="00ED0EA9"/>
    <w:rsid w:val="00ED50F0"/>
    <w:rsid w:val="00ED57F5"/>
    <w:rsid w:val="00ED6B79"/>
    <w:rsid w:val="00ED6D03"/>
    <w:rsid w:val="00EE0FE3"/>
    <w:rsid w:val="00EE7A75"/>
    <w:rsid w:val="00EF414B"/>
    <w:rsid w:val="00EF5331"/>
    <w:rsid w:val="00EF5355"/>
    <w:rsid w:val="00EF5D9D"/>
    <w:rsid w:val="00F021B5"/>
    <w:rsid w:val="00F12236"/>
    <w:rsid w:val="00F209F4"/>
    <w:rsid w:val="00F20CCA"/>
    <w:rsid w:val="00F26CA6"/>
    <w:rsid w:val="00F405F7"/>
    <w:rsid w:val="00F41F59"/>
    <w:rsid w:val="00F42E08"/>
    <w:rsid w:val="00F454D3"/>
    <w:rsid w:val="00F54189"/>
    <w:rsid w:val="00F575D6"/>
    <w:rsid w:val="00F6534B"/>
    <w:rsid w:val="00F7098E"/>
    <w:rsid w:val="00F77CE0"/>
    <w:rsid w:val="00F814C7"/>
    <w:rsid w:val="00F822BB"/>
    <w:rsid w:val="00F91A74"/>
    <w:rsid w:val="00FA0622"/>
    <w:rsid w:val="00FA0D52"/>
    <w:rsid w:val="00FA37A7"/>
    <w:rsid w:val="00FB2959"/>
    <w:rsid w:val="00FB407F"/>
    <w:rsid w:val="00FD32BD"/>
    <w:rsid w:val="00FE082F"/>
    <w:rsid w:val="00FE37C6"/>
    <w:rsid w:val="00FE4C60"/>
    <w:rsid w:val="00FE6F53"/>
    <w:rsid w:val="00FE7AE4"/>
    <w:rsid w:val="00FF3141"/>
    <w:rsid w:val="00FF5521"/>
    <w:rsid w:val="00FF57A6"/>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49B74"/>
  <w15:docId w15:val="{C66E3AFF-B84B-CA4F-BABA-C767E36E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ACC"/>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link w:val="ListParagraphChar"/>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2957F7"/>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A103A"/>
    <w:pPr>
      <w:tabs>
        <w:tab w:val="left" w:pos="660"/>
        <w:tab w:val="right" w:pos="8296"/>
      </w:tabs>
      <w:spacing w:before="80"/>
    </w:pPr>
    <w:rPr>
      <w:rFonts w:ascii="Arial" w:eastAsiaTheme="minorEastAsia" w:hAnsi="Arial" w:cs="Arial"/>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81E32"/>
    <w:rPr>
      <w:sz w:val="18"/>
      <w:szCs w:val="18"/>
    </w:rPr>
  </w:style>
  <w:style w:type="paragraph" w:styleId="CommentText">
    <w:name w:val="annotation text"/>
    <w:basedOn w:val="Normal"/>
    <w:link w:val="CommentTextChar"/>
    <w:semiHidden/>
    <w:unhideWhenUsed/>
    <w:rsid w:val="00781E32"/>
  </w:style>
  <w:style w:type="character" w:customStyle="1" w:styleId="CommentTextChar">
    <w:name w:val="Comment Text Char"/>
    <w:basedOn w:val="DefaultParagraphFont"/>
    <w:link w:val="CommentText"/>
    <w:semiHidden/>
    <w:rsid w:val="00781E32"/>
    <w:rPr>
      <w:sz w:val="24"/>
      <w:szCs w:val="24"/>
      <w:lang w:val="en-GB" w:eastAsia="en-GB"/>
    </w:rPr>
  </w:style>
  <w:style w:type="paragraph" w:styleId="CommentSubject">
    <w:name w:val="annotation subject"/>
    <w:basedOn w:val="CommentText"/>
    <w:next w:val="CommentText"/>
    <w:link w:val="CommentSubjectChar"/>
    <w:semiHidden/>
    <w:unhideWhenUsed/>
    <w:rsid w:val="00781E32"/>
    <w:rPr>
      <w:b/>
      <w:bCs/>
      <w:sz w:val="20"/>
      <w:szCs w:val="20"/>
    </w:rPr>
  </w:style>
  <w:style w:type="character" w:customStyle="1" w:styleId="CommentSubjectChar">
    <w:name w:val="Comment Subject Char"/>
    <w:basedOn w:val="CommentTextChar"/>
    <w:link w:val="CommentSubject"/>
    <w:semiHidden/>
    <w:rsid w:val="00781E32"/>
    <w:rPr>
      <w:b/>
      <w:bCs/>
      <w:sz w:val="24"/>
      <w:szCs w:val="24"/>
      <w:lang w:val="en-GB" w:eastAsia="en-GB"/>
    </w:rPr>
  </w:style>
  <w:style w:type="character" w:customStyle="1" w:styleId="UnresolvedMention2">
    <w:name w:val="Unresolved Mention2"/>
    <w:basedOn w:val="DefaultParagraphFont"/>
    <w:uiPriority w:val="99"/>
    <w:semiHidden/>
    <w:unhideWhenUsed/>
    <w:rsid w:val="00E65989"/>
    <w:rPr>
      <w:color w:val="605E5C"/>
      <w:shd w:val="clear" w:color="auto" w:fill="E1DFDD"/>
    </w:rPr>
  </w:style>
  <w:style w:type="character" w:customStyle="1" w:styleId="UnresolvedMention3">
    <w:name w:val="Unresolved Mention3"/>
    <w:basedOn w:val="DefaultParagraphFont"/>
    <w:uiPriority w:val="99"/>
    <w:semiHidden/>
    <w:unhideWhenUsed/>
    <w:rsid w:val="00077B69"/>
    <w:rPr>
      <w:color w:val="605E5C"/>
      <w:shd w:val="clear" w:color="auto" w:fill="E1DFDD"/>
    </w:rPr>
  </w:style>
  <w:style w:type="character" w:customStyle="1" w:styleId="UnresolvedMention4">
    <w:name w:val="Unresolved Mention4"/>
    <w:basedOn w:val="DefaultParagraphFont"/>
    <w:rsid w:val="00663BAA"/>
    <w:rPr>
      <w:color w:val="605E5C"/>
      <w:shd w:val="clear" w:color="auto" w:fill="E1DFDD"/>
    </w:rPr>
  </w:style>
  <w:style w:type="character" w:styleId="Strong">
    <w:name w:val="Strong"/>
    <w:basedOn w:val="DefaultParagraphFont"/>
    <w:uiPriority w:val="22"/>
    <w:qFormat/>
    <w:rsid w:val="005321E7"/>
    <w:rPr>
      <w:b/>
      <w:bCs/>
    </w:rPr>
  </w:style>
  <w:style w:type="character" w:customStyle="1" w:styleId="UnresolvedMention5">
    <w:name w:val="Unresolved Mention5"/>
    <w:basedOn w:val="DefaultParagraphFont"/>
    <w:uiPriority w:val="99"/>
    <w:semiHidden/>
    <w:unhideWhenUsed/>
    <w:rsid w:val="00790868"/>
    <w:rPr>
      <w:color w:val="605E5C"/>
      <w:shd w:val="clear" w:color="auto" w:fill="E1DFDD"/>
    </w:rPr>
  </w:style>
  <w:style w:type="character" w:customStyle="1" w:styleId="UnresolvedMention">
    <w:name w:val="Unresolved Mention"/>
    <w:basedOn w:val="DefaultParagraphFont"/>
    <w:uiPriority w:val="99"/>
    <w:semiHidden/>
    <w:unhideWhenUsed/>
    <w:rsid w:val="00A673D2"/>
    <w:rPr>
      <w:color w:val="605E5C"/>
      <w:shd w:val="clear" w:color="auto" w:fill="E1DFDD"/>
    </w:rPr>
  </w:style>
  <w:style w:type="character" w:customStyle="1" w:styleId="ListParagraphChar">
    <w:name w:val="List Paragraph Char"/>
    <w:basedOn w:val="DefaultParagraphFont"/>
    <w:link w:val="ListParagraph"/>
    <w:uiPriority w:val="34"/>
    <w:rsid w:val="00C72076"/>
    <w:rPr>
      <w:rFonts w:asciiTheme="minorHAnsi" w:eastAsiaTheme="minorHAnsi" w:hAnsiTheme="minorHAnsi" w:cstheme="minorBidi"/>
      <w:sz w:val="22"/>
      <w:szCs w:val="22"/>
      <w:lang w:val="en-GB"/>
    </w:rPr>
  </w:style>
  <w:style w:type="paragraph" w:styleId="NoSpacing">
    <w:name w:val="No Spacing"/>
    <w:uiPriority w:val="1"/>
    <w:qFormat/>
    <w:rsid w:val="00C72076"/>
    <w:rPr>
      <w:rFonts w:asciiTheme="minorHAnsi" w:eastAsiaTheme="minorHAnsi" w:hAnsiTheme="minorHAnsi" w:cstheme="minorBidi"/>
      <w:sz w:val="22"/>
      <w:szCs w:val="22"/>
      <w:lang w:val="en-GB"/>
    </w:rPr>
  </w:style>
  <w:style w:type="paragraph" w:styleId="Revision">
    <w:name w:val="Revision"/>
    <w:hidden/>
    <w:uiPriority w:val="99"/>
    <w:semiHidden/>
    <w:rsid w:val="002957F7"/>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4279">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78143946">
      <w:bodyDiv w:val="1"/>
      <w:marLeft w:val="0"/>
      <w:marRight w:val="0"/>
      <w:marTop w:val="0"/>
      <w:marBottom w:val="0"/>
      <w:divBdr>
        <w:top w:val="none" w:sz="0" w:space="0" w:color="auto"/>
        <w:left w:val="none" w:sz="0" w:space="0" w:color="auto"/>
        <w:bottom w:val="none" w:sz="0" w:space="0" w:color="auto"/>
        <w:right w:val="none" w:sz="0" w:space="0" w:color="auto"/>
      </w:divBdr>
    </w:div>
    <w:div w:id="561326940">
      <w:bodyDiv w:val="1"/>
      <w:marLeft w:val="0"/>
      <w:marRight w:val="0"/>
      <w:marTop w:val="0"/>
      <w:marBottom w:val="0"/>
      <w:divBdr>
        <w:top w:val="none" w:sz="0" w:space="0" w:color="auto"/>
        <w:left w:val="none" w:sz="0" w:space="0" w:color="auto"/>
        <w:bottom w:val="none" w:sz="0" w:space="0" w:color="auto"/>
        <w:right w:val="none" w:sz="0" w:space="0" w:color="auto"/>
      </w:divBdr>
    </w:div>
    <w:div w:id="584611039">
      <w:bodyDiv w:val="1"/>
      <w:marLeft w:val="0"/>
      <w:marRight w:val="0"/>
      <w:marTop w:val="0"/>
      <w:marBottom w:val="0"/>
      <w:divBdr>
        <w:top w:val="none" w:sz="0" w:space="0" w:color="auto"/>
        <w:left w:val="none" w:sz="0" w:space="0" w:color="auto"/>
        <w:bottom w:val="none" w:sz="0" w:space="0" w:color="auto"/>
        <w:right w:val="none" w:sz="0" w:space="0" w:color="auto"/>
      </w:divBdr>
    </w:div>
    <w:div w:id="604383441">
      <w:bodyDiv w:val="1"/>
      <w:marLeft w:val="0"/>
      <w:marRight w:val="0"/>
      <w:marTop w:val="0"/>
      <w:marBottom w:val="0"/>
      <w:divBdr>
        <w:top w:val="none" w:sz="0" w:space="0" w:color="auto"/>
        <w:left w:val="none" w:sz="0" w:space="0" w:color="auto"/>
        <w:bottom w:val="none" w:sz="0" w:space="0" w:color="auto"/>
        <w:right w:val="none" w:sz="0" w:space="0" w:color="auto"/>
      </w:divBdr>
    </w:div>
    <w:div w:id="63494380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72619587">
      <w:bodyDiv w:val="1"/>
      <w:marLeft w:val="0"/>
      <w:marRight w:val="0"/>
      <w:marTop w:val="0"/>
      <w:marBottom w:val="0"/>
      <w:divBdr>
        <w:top w:val="none" w:sz="0" w:space="0" w:color="auto"/>
        <w:left w:val="none" w:sz="0" w:space="0" w:color="auto"/>
        <w:bottom w:val="none" w:sz="0" w:space="0" w:color="auto"/>
        <w:right w:val="none" w:sz="0" w:space="0" w:color="auto"/>
      </w:divBdr>
    </w:div>
    <w:div w:id="923805880">
      <w:bodyDiv w:val="1"/>
      <w:marLeft w:val="0"/>
      <w:marRight w:val="0"/>
      <w:marTop w:val="0"/>
      <w:marBottom w:val="0"/>
      <w:divBdr>
        <w:top w:val="none" w:sz="0" w:space="0" w:color="auto"/>
        <w:left w:val="none" w:sz="0" w:space="0" w:color="auto"/>
        <w:bottom w:val="none" w:sz="0" w:space="0" w:color="auto"/>
        <w:right w:val="none" w:sz="0" w:space="0" w:color="auto"/>
      </w:divBdr>
      <w:divsChild>
        <w:div w:id="1022903452">
          <w:marLeft w:val="0"/>
          <w:marRight w:val="0"/>
          <w:marTop w:val="0"/>
          <w:marBottom w:val="0"/>
          <w:divBdr>
            <w:top w:val="none" w:sz="0" w:space="0" w:color="auto"/>
            <w:left w:val="none" w:sz="0" w:space="0" w:color="auto"/>
            <w:bottom w:val="none" w:sz="0" w:space="0" w:color="auto"/>
            <w:right w:val="none" w:sz="0" w:space="0" w:color="auto"/>
          </w:divBdr>
          <w:divsChild>
            <w:div w:id="152381114">
              <w:marLeft w:val="0"/>
              <w:marRight w:val="0"/>
              <w:marTop w:val="0"/>
              <w:marBottom w:val="0"/>
              <w:divBdr>
                <w:top w:val="none" w:sz="0" w:space="0" w:color="auto"/>
                <w:left w:val="none" w:sz="0" w:space="0" w:color="auto"/>
                <w:bottom w:val="none" w:sz="0" w:space="0" w:color="auto"/>
                <w:right w:val="none" w:sz="0" w:space="0" w:color="auto"/>
              </w:divBdr>
              <w:divsChild>
                <w:div w:id="731538593">
                  <w:marLeft w:val="0"/>
                  <w:marRight w:val="0"/>
                  <w:marTop w:val="0"/>
                  <w:marBottom w:val="0"/>
                  <w:divBdr>
                    <w:top w:val="none" w:sz="0" w:space="0" w:color="auto"/>
                    <w:left w:val="none" w:sz="0" w:space="0" w:color="auto"/>
                    <w:bottom w:val="none" w:sz="0" w:space="0" w:color="auto"/>
                    <w:right w:val="none" w:sz="0" w:space="0" w:color="auto"/>
                  </w:divBdr>
                  <w:divsChild>
                    <w:div w:id="3807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2677">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62963156">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520575">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o.org.uk/your-data-matters/your-right-to-get-your-data-corrected/" TargetMode="External"/><Relationship Id="rId21" Type="http://schemas.openxmlformats.org/officeDocument/2006/relationships/hyperlink" Target="https://www.legislation.gov.uk/eur/2016/679/article/12" TargetMode="External"/><Relationship Id="rId42" Type="http://schemas.openxmlformats.org/officeDocument/2006/relationships/hyperlink" Target="https://ico.org.uk/for-organisations/uk-gdpr-guidance-and-resources/individual-rights/individual-rights/right-of-access/" TargetMode="External"/><Relationship Id="rId47" Type="http://schemas.openxmlformats.org/officeDocument/2006/relationships/hyperlink" Target="https://ico.org.uk/for-organisations/report-a-breach/personal-data-breach/personal-data-breaches-a-guide/" TargetMode="External"/><Relationship Id="rId63" Type="http://schemas.openxmlformats.org/officeDocument/2006/relationships/footer" Target="footer1.xml"/><Relationship Id="rId68" Type="http://schemas.openxmlformats.org/officeDocument/2006/relationships/hyperlink" Target="http://www.ico.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eur/2016/679/article/6" TargetMode="External"/><Relationship Id="rId29" Type="http://schemas.openxmlformats.org/officeDocument/2006/relationships/hyperlink" Target="https://www.bma.org.uk/media/1868/bma-access-to-health-records-nov-19.pdf" TargetMode="External"/><Relationship Id="rId11" Type="http://schemas.openxmlformats.org/officeDocument/2006/relationships/hyperlink" Target="https://ico.org.uk/for-organisations/uk-gdpr-guidance-and-resources/accountability-and-governance/guide-to-accountability-and-governance/accountability-and-governance/data-protection-by-design-and-default/" TargetMode="External"/><Relationship Id="rId24" Type="http://schemas.openxmlformats.org/officeDocument/2006/relationships/hyperlink" Target="https://ico.org.uk/for-organisations/uk-gdpr-guidance-and-resources/individual-rights/individual-rights/right-to-rectification/" TargetMode="External"/><Relationship Id="rId32" Type="http://schemas.openxmlformats.org/officeDocument/2006/relationships/hyperlink" Target="https://ico.org.uk/for-organisations/uk-gdpr-guidance-and-resources/individual-rights/individual-rights/right-to-data-portability/" TargetMode="External"/><Relationship Id="rId37" Type="http://schemas.openxmlformats.org/officeDocument/2006/relationships/hyperlink" Target="https://practiceindex.co.uk/gp/forum/resources/access-to-medical-records-policy.1702/" TargetMode="External"/><Relationship Id="rId40" Type="http://schemas.openxmlformats.org/officeDocument/2006/relationships/hyperlink" Target="https://ico.org.uk/for-the-public/getting-copies-of-your-information-subject-access-request/why-organisations-might-partially-or-fully-refuse-a-subject-access-request/" TargetMode="External"/><Relationship Id="rId45" Type="http://schemas.openxmlformats.org/officeDocument/2006/relationships/hyperlink" Target="https://ico.org.uk/for-organisations/uk-gdpr-guidance-and-resources/individual-rights/individual-rights/right-of-access/" TargetMode="External"/><Relationship Id="rId53" Type="http://schemas.openxmlformats.org/officeDocument/2006/relationships/hyperlink" Target="https://www.legislation.gov.uk/ukpga/2018/12/part/2/chapter/2/enacted" TargetMode="External"/><Relationship Id="rId58" Type="http://schemas.openxmlformats.org/officeDocument/2006/relationships/image" Target="media/image1.png"/><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legislation.gov.uk/eur/2016/679/article/13" TargetMode="External"/><Relationship Id="rId14" Type="http://schemas.openxmlformats.org/officeDocument/2006/relationships/hyperlink" Target="https://www.legislation.gov.uk/eur/2016/679/article/5" TargetMode="External"/><Relationship Id="rId22" Type="http://schemas.openxmlformats.org/officeDocument/2006/relationships/hyperlink" Target="https://www.legislation.gov.uk/eur/2016/679/article/13" TargetMode="External"/><Relationship Id="rId27" Type="http://schemas.openxmlformats.org/officeDocument/2006/relationships/hyperlink" Target="https://ico.org.uk/for-organisations/uk-gdpr-guidance-and-resources/individual-rights/individual-rights/right-to-erasure/" TargetMode="External"/><Relationship Id="rId30" Type="http://schemas.openxmlformats.org/officeDocument/2006/relationships/hyperlink" Target="https://ico.org.uk/for-organisations/uk-gdpr-guidance-and-resources/individual-rights/individual-rights/right-to-restrict-processing/" TargetMode="External"/><Relationship Id="rId35" Type="http://schemas.openxmlformats.org/officeDocument/2006/relationships/hyperlink" Target="https://www.legislation.gov.uk/eur/2016/679/article/22" TargetMode="External"/><Relationship Id="rId43" Type="http://schemas.openxmlformats.org/officeDocument/2006/relationships/hyperlink" Target="https://www.cddft.nhs.uk/media/655573/bma-law-society-consent-form-oct-2018.pdf" TargetMode="External"/><Relationship Id="rId48" Type="http://schemas.openxmlformats.org/officeDocument/2006/relationships/hyperlink" Target="https://www.dsptoolkit.nhs.uk/" TargetMode="External"/><Relationship Id="rId56" Type="http://schemas.openxmlformats.org/officeDocument/2006/relationships/hyperlink" Target="https://ico.org.uk/for-organisations/uk-gdpr-guidance-and-resources/accountability-and-governance/data-protection-impact-assessments-dpias/what-is-a-dpia/" TargetMode="External"/><Relationship Id="rId64" Type="http://schemas.openxmlformats.org/officeDocument/2006/relationships/footer" Target="footer2.xml"/><Relationship Id="rId69" Type="http://schemas.openxmlformats.org/officeDocument/2006/relationships/fontTable" Target="fontTable.xml"/><Relationship Id="rId8" Type="http://schemas.openxmlformats.org/officeDocument/2006/relationships/hyperlink" Target="https://www.legislation.gov.uk/ukpga/2018/12/contents/enacted" TargetMode="External"/><Relationship Id="rId51" Type="http://schemas.openxmlformats.org/officeDocument/2006/relationships/hyperlink" Target="https://ico.org.uk/for-organisations/report-a-breach/personal-data-breach/personal-data-breaches-a-guide/" TargetMode="External"/><Relationship Id="rId3" Type="http://schemas.openxmlformats.org/officeDocument/2006/relationships/styles" Target="styles.xml"/><Relationship Id="rId12" Type="http://schemas.openxmlformats.org/officeDocument/2006/relationships/hyperlink" Target="https://www.legislation.gov.uk/eur/2016/679/article/25" TargetMode="External"/><Relationship Id="rId17" Type="http://schemas.openxmlformats.org/officeDocument/2006/relationships/hyperlink" Target="https://ico.org.uk/for-organisations/uk-gdpr-guidance-and-resources/individual-rights/individual-rights/" TargetMode="External"/><Relationship Id="rId25" Type="http://schemas.openxmlformats.org/officeDocument/2006/relationships/hyperlink" Target="https://ico.org.uk/for-organisations/uk-gdpr-guidance-and-resources/individual-rights/individual-rights/right-to-rectification/" TargetMode="External"/><Relationship Id="rId33" Type="http://schemas.openxmlformats.org/officeDocument/2006/relationships/hyperlink" Target="https://ico.org.uk/for-organisations/uk-gdpr-guidance-and-resources/individual-rights/individual-rights/right-to-object/" TargetMode="External"/><Relationship Id="rId38" Type="http://schemas.openxmlformats.org/officeDocument/2006/relationships/hyperlink" Target="https://ico.org.uk/for-organisations/uk-gdpr-guidance-and-resources/individual-rights/individual-rights/right-of-access/" TargetMode="External"/><Relationship Id="rId46" Type="http://schemas.openxmlformats.org/officeDocument/2006/relationships/hyperlink" Target="https://ico.org.uk/for-organisations/report-a-breach/personal-data-breach/personal-data-breaches-a-guide/" TargetMode="External"/><Relationship Id="rId59" Type="http://schemas.openxmlformats.org/officeDocument/2006/relationships/hyperlink" Target="https://transform.england.nhs.uk/documents/163/Template_DPIA_Full_word_version_12.09.23.docx" TargetMode="External"/><Relationship Id="rId67" Type="http://schemas.openxmlformats.org/officeDocument/2006/relationships/hyperlink" Target="https://practiceindex.co.uk/gp/forum/resources/information-asset-register.1895/" TargetMode="External"/><Relationship Id="rId20" Type="http://schemas.openxmlformats.org/officeDocument/2006/relationships/hyperlink" Target="https://ico.org.uk/for-organisations/uk-gdpr-guidance-and-resources/individual-rights/individual-rights/right-of-access/" TargetMode="External"/><Relationship Id="rId41" Type="http://schemas.openxmlformats.org/officeDocument/2006/relationships/hyperlink" Target="https://ico.org.uk/for-organisations/uk-gdpr-guidance-and-resources/individual-rights/individual-rights/right-of-access/" TargetMode="External"/><Relationship Id="rId54" Type="http://schemas.openxmlformats.org/officeDocument/2006/relationships/hyperlink" Target="https://practiceindex.co.uk/gp/forum/resources/consent.707/" TargetMode="External"/><Relationship Id="rId62" Type="http://schemas.openxmlformats.org/officeDocument/2006/relationships/header" Target="header2.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o.org.uk/for-organisations/data-protection-fee/legal-definitions-fees/" TargetMode="External"/><Relationship Id="rId23" Type="http://schemas.openxmlformats.org/officeDocument/2006/relationships/hyperlink" Target="https://www.legislation.gov.uk/eur/2016/679/article/14" TargetMode="External"/><Relationship Id="rId28" Type="http://schemas.openxmlformats.org/officeDocument/2006/relationships/hyperlink" Target="https://www.legislation.gov.uk/eur/2016/679/article/17" TargetMode="External"/><Relationship Id="rId36" Type="http://schemas.openxmlformats.org/officeDocument/2006/relationships/hyperlink" Target="https://ico.org.uk/for-organisations/uk-gdpr-guidance-and-resources/individual-rights/individual-rights/right-of-access/" TargetMode="External"/><Relationship Id="rId49" Type="http://schemas.openxmlformats.org/officeDocument/2006/relationships/hyperlink" Target="https://www.legislation.gov.uk/eur/2016/679/article/33" TargetMode="External"/><Relationship Id="rId57" Type="http://schemas.openxmlformats.org/officeDocument/2006/relationships/hyperlink" Target="https://www.legislation.gov.uk/eur/2016/679/article/35" TargetMode="External"/><Relationship Id="rId10" Type="http://schemas.openxmlformats.org/officeDocument/2006/relationships/hyperlink" Target="https://www.gov.uk/guidance/equality-act-2010-guidance" TargetMode="External"/><Relationship Id="rId31" Type="http://schemas.openxmlformats.org/officeDocument/2006/relationships/hyperlink" Target="https://www.legislation.gov.uk/eur/2016/679/article/18" TargetMode="External"/><Relationship Id="rId44" Type="http://schemas.openxmlformats.org/officeDocument/2006/relationships/hyperlink" Target="https://www.legislation.gov.uk/ukpga/1988/28/contents" TargetMode="External"/><Relationship Id="rId52" Type="http://schemas.openxmlformats.org/officeDocument/2006/relationships/hyperlink" Target="https://ico.org.uk/for-organisations/uk-gdpr-guidance-and-resources/lawful-basis/a-guide-to-lawful-basis/lawful-basis-for-processing/consent/" TargetMode="External"/><Relationship Id="rId60" Type="http://schemas.openxmlformats.org/officeDocument/2006/relationships/hyperlink" Target="https://ico.org.uk/for-organisations/uk-gdpr-guidance-and-resources/accountability-and-governance/accountability-framework/records-management-and-security/"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egislation.gov.uk/ukpga/2018/12/part/2/chapter/2/enacted" TargetMode="External"/><Relationship Id="rId13" Type="http://schemas.openxmlformats.org/officeDocument/2006/relationships/hyperlink" Target="https://ico.org.uk/for-organisations/data-protection-fee/legal-definitions-fees/" TargetMode="External"/><Relationship Id="rId18" Type="http://schemas.openxmlformats.org/officeDocument/2006/relationships/hyperlink" Target="https://www.legislation.gov.uk/eur/2016/679/article/13" TargetMode="External"/><Relationship Id="rId39" Type="http://schemas.openxmlformats.org/officeDocument/2006/relationships/hyperlink" Target="https://ico.org.uk/for-organisations/uk-gdpr-guidance-and-resources/individual-rights/individual-rights/right-of-access/" TargetMode="External"/><Relationship Id="rId34" Type="http://schemas.openxmlformats.org/officeDocument/2006/relationships/hyperlink" Target="https://www.legislation.gov.uk/eur/2016/679/article/21" TargetMode="External"/><Relationship Id="rId50" Type="http://schemas.openxmlformats.org/officeDocument/2006/relationships/hyperlink" Target="https://ico.org.uk/for-organisations/report-a-breach/personal-data-breach/personal-data-breaches-a-guide/" TargetMode="External"/><Relationship Id="rId55" Type="http://schemas.openxmlformats.org/officeDocument/2006/relationships/hyperlink" Target="https://practiceindex.co.uk/gp/forum/resources/register-of-processing-activities-ropa.1886/"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stmartinsmedicalcentre.co.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44C92-489D-43F4-AE19-13D8C66C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5446</Words>
  <Characters>31048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Pooja Kalra</cp:lastModifiedBy>
  <cp:revision>2</cp:revision>
  <cp:lastPrinted>2017-09-20T11:53:00Z</cp:lastPrinted>
  <dcterms:created xsi:type="dcterms:W3CDTF">2024-09-24T13:39:00Z</dcterms:created>
  <dcterms:modified xsi:type="dcterms:W3CDTF">2024-09-24T13:39:00Z</dcterms:modified>
</cp:coreProperties>
</file>